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F7" w:rsidRPr="007F5C6F" w:rsidRDefault="00BD77F7" w:rsidP="00BD77F7">
      <w:pPr>
        <w:ind w:firstLine="709"/>
        <w:jc w:val="center"/>
        <w:rPr>
          <w:b/>
          <w:szCs w:val="28"/>
        </w:rPr>
      </w:pPr>
      <w:r w:rsidRPr="007F5C6F">
        <w:rPr>
          <w:b/>
          <w:szCs w:val="28"/>
        </w:rPr>
        <w:t>Примерная стоимость работ по подтверждению соответствия</w:t>
      </w:r>
    </w:p>
    <w:p w:rsidR="00BD77F7" w:rsidRDefault="00BD77F7" w:rsidP="00BD77F7">
      <w:pPr>
        <w:ind w:firstLine="709"/>
        <w:jc w:val="both"/>
      </w:pPr>
    </w:p>
    <w:p w:rsidR="00BD77F7" w:rsidRDefault="00BD77F7" w:rsidP="00BD77F7">
      <w:pPr>
        <w:ind w:firstLine="709"/>
        <w:jc w:val="both"/>
        <w:rPr>
          <w:b/>
        </w:rPr>
      </w:pPr>
      <w:r w:rsidRPr="006603DE">
        <w:rPr>
          <w:b/>
        </w:rPr>
        <w:t>Описание способов, с помощью которых ОС получает финансовую поддержку:</w:t>
      </w:r>
    </w:p>
    <w:p w:rsidR="00BD77F7" w:rsidRPr="006603DE" w:rsidRDefault="00BD77F7" w:rsidP="00BD77F7">
      <w:pPr>
        <w:ind w:firstLine="709"/>
        <w:jc w:val="both"/>
        <w:rPr>
          <w:b/>
        </w:rPr>
      </w:pPr>
    </w:p>
    <w:p w:rsidR="00BD77F7" w:rsidRPr="007D09C6" w:rsidRDefault="00BD77F7" w:rsidP="00BD77F7">
      <w:pPr>
        <w:ind w:firstLine="709"/>
        <w:jc w:val="both"/>
      </w:pPr>
      <w:r w:rsidRPr="007D09C6">
        <w:t>Финансирование деятельности ОС осуществляется за счет поступления денежных средств от проведения следующих видов работ:</w:t>
      </w:r>
    </w:p>
    <w:p w:rsidR="00BD77F7" w:rsidRPr="007D09C6" w:rsidRDefault="00BD77F7" w:rsidP="00BD77F7">
      <w:pPr>
        <w:numPr>
          <w:ilvl w:val="0"/>
          <w:numId w:val="3"/>
        </w:numPr>
        <w:jc w:val="both"/>
      </w:pPr>
      <w:r w:rsidRPr="007D09C6">
        <w:t>⁠сертификация продукции;</w:t>
      </w:r>
    </w:p>
    <w:p w:rsidR="00BD77F7" w:rsidRPr="007D09C6" w:rsidRDefault="00BD77F7" w:rsidP="00BD77F7">
      <w:pPr>
        <w:numPr>
          <w:ilvl w:val="0"/>
          <w:numId w:val="3"/>
        </w:numPr>
        <w:jc w:val="both"/>
      </w:pPr>
      <w:r w:rsidRPr="007D09C6">
        <w:t>⁠инспекционный контроль за сертифицированной продукцией.</w:t>
      </w:r>
    </w:p>
    <w:p w:rsidR="00BD77F7" w:rsidRPr="007D09C6" w:rsidRDefault="00BD77F7" w:rsidP="00BD77F7">
      <w:pPr>
        <w:ind w:firstLine="709"/>
        <w:jc w:val="both"/>
      </w:pPr>
      <w:r w:rsidRPr="007D09C6">
        <w:t>Работы проводятся на основе договоров, заключенных с заявителями на сертификацию и с держателями сертификатов на инспекционный контроль. Оплата работ заявителем должна производиться независимо от результатов работ.</w:t>
      </w:r>
    </w:p>
    <w:p w:rsidR="00BD77F7" w:rsidRPr="007D09C6" w:rsidRDefault="00BD77F7" w:rsidP="00BD77F7">
      <w:pPr>
        <w:ind w:firstLine="709"/>
        <w:jc w:val="both"/>
      </w:pPr>
      <w:r w:rsidRPr="007D09C6">
        <w:t>Оплата работ по сертификации продукции основывается на следующих принципах:</w:t>
      </w:r>
    </w:p>
    <w:p w:rsidR="00BD77F7" w:rsidRPr="007D09C6" w:rsidRDefault="00BD77F7" w:rsidP="00BD77F7">
      <w:pPr>
        <w:numPr>
          <w:ilvl w:val="0"/>
          <w:numId w:val="4"/>
        </w:numPr>
        <w:jc w:val="both"/>
      </w:pPr>
      <w:r w:rsidRPr="007D09C6">
        <w:t>все фактически произведенные работы по сертификации оплачиваются за счет собственных средств предприятий, организаций, граждан, обратившихся с заявкой на проведение соответствующих работ, вне зависимости от принятых по их результатам решений;</w:t>
      </w:r>
    </w:p>
    <w:p w:rsidR="00BD77F7" w:rsidRPr="007D09C6" w:rsidRDefault="00BD77F7" w:rsidP="00BD77F7">
      <w:pPr>
        <w:numPr>
          <w:ilvl w:val="0"/>
          <w:numId w:val="4"/>
        </w:numPr>
        <w:jc w:val="both"/>
      </w:pPr>
      <w:r w:rsidRPr="007D09C6">
        <w:t>инспекционный контроль за сертифицированной в обязательном порядке продукцией оплачивается в размере фактически произведенных затрат организацией, выполняющая соответствующие работы.</w:t>
      </w:r>
    </w:p>
    <w:p w:rsidR="00BD77F7" w:rsidRDefault="00BD77F7" w:rsidP="00BD77F7">
      <w:pPr>
        <w:ind w:firstLine="709"/>
        <w:jc w:val="both"/>
      </w:pPr>
    </w:p>
    <w:p w:rsidR="00BD77F7" w:rsidRPr="007F5C6F" w:rsidRDefault="00BD77F7" w:rsidP="00BD77F7">
      <w:pPr>
        <w:ind w:firstLine="709"/>
        <w:jc w:val="both"/>
        <w:rPr>
          <w:b/>
        </w:rPr>
      </w:pPr>
      <w:r w:rsidRPr="007F5C6F">
        <w:rPr>
          <w:b/>
        </w:rPr>
        <w:t>Методика расчета стоимости работ по сертификации ОС «Огнестойкость»</w:t>
      </w:r>
    </w:p>
    <w:p w:rsidR="00BD77F7" w:rsidRDefault="00BD77F7" w:rsidP="00BD77F7">
      <w:pPr>
        <w:ind w:firstLine="709"/>
        <w:jc w:val="center"/>
      </w:pPr>
      <w:r w:rsidRPr="007F5C6F">
        <w:rPr>
          <w:b/>
        </w:rPr>
        <w:t>АО «Центр сертификации и испытаний «О</w:t>
      </w:r>
      <w:r>
        <w:rPr>
          <w:b/>
        </w:rPr>
        <w:t>гнестойкость</w:t>
      </w:r>
      <w:r w:rsidRPr="007F5C6F">
        <w:rPr>
          <w:b/>
        </w:rPr>
        <w:t>»</w:t>
      </w:r>
    </w:p>
    <w:p w:rsidR="00BD77F7" w:rsidRDefault="00BD77F7" w:rsidP="00BD77F7">
      <w:pPr>
        <w:ind w:firstLine="709"/>
        <w:jc w:val="both"/>
      </w:pPr>
    </w:p>
    <w:p w:rsidR="00BD77F7" w:rsidRPr="006860E9" w:rsidRDefault="00BD77F7" w:rsidP="00BD77F7">
      <w:pPr>
        <w:pStyle w:val="a5"/>
        <w:numPr>
          <w:ilvl w:val="1"/>
          <w:numId w:val="2"/>
        </w:numPr>
        <w:ind w:firstLine="567"/>
        <w:jc w:val="both"/>
      </w:pPr>
      <w:r w:rsidRPr="006860E9">
        <w:t>Дневная ставка экспертов по сертификации, привлекаемых для выполнения работ по обязательной сертификации, включая работы по инспекционному контролю за соответствием сертифицированных объектов требованиям нормативных документов (НД), принимаемая для расчета стоимости работ по сертификации и инспекционному контролю, определяется органом по сертификации самостоятельно, исходя из установленных в нем условий оплаты труда работников.</w:t>
      </w:r>
    </w:p>
    <w:p w:rsidR="00BD77F7" w:rsidRPr="006860E9" w:rsidRDefault="00BD77F7" w:rsidP="00BD77F7">
      <w:pPr>
        <w:jc w:val="both"/>
      </w:pPr>
    </w:p>
    <w:p w:rsidR="00BD77F7" w:rsidRPr="006860E9" w:rsidRDefault="00BD77F7" w:rsidP="00BD77F7">
      <w:pPr>
        <w:pStyle w:val="a5"/>
        <w:numPr>
          <w:ilvl w:val="0"/>
          <w:numId w:val="2"/>
        </w:numPr>
        <w:spacing w:line="276" w:lineRule="auto"/>
        <w:jc w:val="center"/>
        <w:outlineLvl w:val="0"/>
        <w:rPr>
          <w:b/>
          <w:bCs/>
        </w:rPr>
      </w:pPr>
      <w:bookmarkStart w:id="0" w:name="_Toc76635946"/>
      <w:bookmarkStart w:id="1" w:name="_GoBack"/>
      <w:bookmarkEnd w:id="1"/>
      <w:r w:rsidRPr="006860E9">
        <w:rPr>
          <w:b/>
          <w:bCs/>
        </w:rPr>
        <w:t>ОПЛАТА РАБОТ ПО ОБЯЗАТЕЛЬНОЙ СЕРТИФИКАЦИИ ПРОДУКЦИИ</w:t>
      </w:r>
      <w:bookmarkEnd w:id="0"/>
    </w:p>
    <w:p w:rsidR="00BD77F7" w:rsidRPr="006860E9" w:rsidRDefault="00BD77F7" w:rsidP="00BD77F7">
      <w:pPr>
        <w:pStyle w:val="a5"/>
        <w:numPr>
          <w:ilvl w:val="1"/>
          <w:numId w:val="2"/>
        </w:numPr>
        <w:ind w:firstLine="567"/>
        <w:jc w:val="both"/>
        <w:rPr>
          <w:bCs/>
        </w:rPr>
      </w:pPr>
      <w:r w:rsidRPr="006860E9">
        <w:rPr>
          <w:bCs/>
        </w:rPr>
        <w:t>Проведение работ по обязательной сертификации продукции предполагает затраты:</w:t>
      </w:r>
    </w:p>
    <w:p w:rsidR="00BD77F7" w:rsidRPr="006860E9" w:rsidRDefault="00BD77F7" w:rsidP="00BD77F7">
      <w:pPr>
        <w:pStyle w:val="a3"/>
        <w:numPr>
          <w:ilvl w:val="0"/>
          <w:numId w:val="1"/>
        </w:numPr>
        <w:tabs>
          <w:tab w:val="clear" w:pos="1069"/>
          <w:tab w:val="num" w:pos="709"/>
        </w:tabs>
        <w:spacing w:line="276" w:lineRule="auto"/>
        <w:ind w:firstLine="567"/>
        <w:jc w:val="both"/>
        <w:rPr>
          <w:b w:val="0"/>
        </w:rPr>
      </w:pPr>
      <w:r w:rsidRPr="006860E9">
        <w:rPr>
          <w:b w:val="0"/>
        </w:rPr>
        <w:t>органа по сертификации продукции (далее по тексту – ОС);</w:t>
      </w:r>
    </w:p>
    <w:p w:rsidR="00BD77F7" w:rsidRPr="006860E9" w:rsidRDefault="00BD77F7" w:rsidP="00BD77F7">
      <w:pPr>
        <w:pStyle w:val="a3"/>
        <w:numPr>
          <w:ilvl w:val="0"/>
          <w:numId w:val="1"/>
        </w:numPr>
        <w:tabs>
          <w:tab w:val="clear" w:pos="1069"/>
          <w:tab w:val="num" w:pos="709"/>
        </w:tabs>
        <w:spacing w:line="276" w:lineRule="auto"/>
        <w:ind w:firstLine="567"/>
        <w:jc w:val="both"/>
        <w:rPr>
          <w:b w:val="0"/>
        </w:rPr>
      </w:pPr>
      <w:r w:rsidRPr="006860E9">
        <w:rPr>
          <w:b w:val="0"/>
        </w:rPr>
        <w:t xml:space="preserve">испытательной лаборатории (далее по тексту – ИЛ); </w:t>
      </w:r>
    </w:p>
    <w:p w:rsidR="00BD77F7" w:rsidRPr="006860E9" w:rsidRDefault="00BD77F7" w:rsidP="00BD77F7">
      <w:pPr>
        <w:pStyle w:val="a3"/>
        <w:numPr>
          <w:ilvl w:val="0"/>
          <w:numId w:val="1"/>
        </w:numPr>
        <w:tabs>
          <w:tab w:val="clear" w:pos="1069"/>
          <w:tab w:val="num" w:pos="709"/>
        </w:tabs>
        <w:spacing w:line="276" w:lineRule="auto"/>
        <w:ind w:firstLine="567"/>
        <w:jc w:val="both"/>
        <w:rPr>
          <w:b w:val="0"/>
        </w:rPr>
      </w:pPr>
      <w:r w:rsidRPr="006860E9">
        <w:rPr>
          <w:b w:val="0"/>
        </w:rPr>
        <w:t>по инспекционному контролю за соответствием сертифицированной продукции требованиям НД, если инспекционный контроль предусмотрен схемой сертификации;</w:t>
      </w:r>
    </w:p>
    <w:p w:rsidR="00BD77F7" w:rsidRPr="006860E9" w:rsidRDefault="00BD77F7" w:rsidP="00BD77F7">
      <w:pPr>
        <w:pStyle w:val="a3"/>
        <w:numPr>
          <w:ilvl w:val="0"/>
          <w:numId w:val="1"/>
        </w:numPr>
        <w:tabs>
          <w:tab w:val="clear" w:pos="1069"/>
          <w:tab w:val="num" w:pos="709"/>
        </w:tabs>
        <w:spacing w:line="276" w:lineRule="auto"/>
        <w:ind w:firstLine="567"/>
        <w:jc w:val="both"/>
        <w:rPr>
          <w:b w:val="0"/>
        </w:rPr>
      </w:pPr>
      <w:r w:rsidRPr="006860E9">
        <w:rPr>
          <w:b w:val="0"/>
        </w:rPr>
        <w:t>по выдаче сертификата.</w:t>
      </w:r>
    </w:p>
    <w:p w:rsidR="00BD77F7" w:rsidRPr="006860E9" w:rsidRDefault="00BD77F7" w:rsidP="00BD77F7">
      <w:pPr>
        <w:pStyle w:val="a5"/>
        <w:numPr>
          <w:ilvl w:val="1"/>
          <w:numId w:val="2"/>
        </w:numPr>
        <w:ind w:firstLine="567"/>
        <w:jc w:val="both"/>
        <w:rPr>
          <w:bCs/>
        </w:rPr>
      </w:pPr>
      <w:r w:rsidRPr="006860E9">
        <w:rPr>
          <w:bCs/>
        </w:rPr>
        <w:t>В общем случае суммарные затраты на обязательную сертификацию продукции (</w:t>
      </w:r>
      <w:r w:rsidRPr="006860E9">
        <w:rPr>
          <w:bCs/>
          <w:i/>
          <w:iCs/>
        </w:rPr>
        <w:t>С</w:t>
      </w:r>
      <w:r w:rsidRPr="006860E9">
        <w:rPr>
          <w:bCs/>
        </w:rPr>
        <w:t>) определяются по формуле:</w:t>
      </w:r>
    </w:p>
    <w:p w:rsidR="00BD77F7" w:rsidRPr="006860E9" w:rsidRDefault="00BD77F7" w:rsidP="00BD77F7">
      <w:pPr>
        <w:ind w:firstLine="567"/>
        <w:jc w:val="center"/>
        <w:rPr>
          <w:bCs/>
        </w:rPr>
      </w:pPr>
      <m:oMath>
        <m:r>
          <w:rPr>
            <w:rFonts w:ascii="Cambria Math" w:hAnsi="Cambria Math"/>
          </w:rPr>
          <m:t>C=</m:t>
        </m:r>
        <m:sSub>
          <m:sSubPr>
            <m:ctrlPr>
              <w:rPr>
                <w:rFonts w:ascii="Cambria Math" w:hAnsi="Cambria Math"/>
                <w:bCs/>
                <w:i/>
              </w:rPr>
            </m:ctrlPr>
          </m:sSubPr>
          <m:e>
            <m:r>
              <w:rPr>
                <w:rFonts w:ascii="Cambria Math" w:hAnsi="Cambria Math"/>
              </w:rPr>
              <m:t>C</m:t>
            </m:r>
          </m:e>
          <m:sub>
            <m:r>
              <w:rPr>
                <w:rFonts w:ascii="Cambria Math" w:hAnsi="Cambria Math"/>
              </w:rPr>
              <m:t>ос</m:t>
            </m:r>
          </m:sub>
        </m:sSub>
        <m:r>
          <w:rPr>
            <w:rFonts w:ascii="Cambria Math" w:hAnsi="Cambria Math"/>
          </w:rPr>
          <m:t>+</m:t>
        </m:r>
        <m:sSub>
          <m:sSubPr>
            <m:ctrlPr>
              <w:rPr>
                <w:rFonts w:ascii="Cambria Math" w:hAnsi="Cambria Math"/>
                <w:bCs/>
                <w:i/>
              </w:rPr>
            </m:ctrlPr>
          </m:sSubPr>
          <m:e>
            <m:r>
              <w:rPr>
                <w:rFonts w:ascii="Cambria Math" w:hAnsi="Cambria Math"/>
              </w:rPr>
              <m:t>C</m:t>
            </m:r>
          </m:e>
          <m:sub>
            <m:r>
              <w:rPr>
                <w:rFonts w:ascii="Cambria Math" w:hAnsi="Cambria Math"/>
              </w:rPr>
              <m:t>об</m:t>
            </m:r>
          </m:sub>
        </m:sSub>
        <m:r>
          <w:rPr>
            <w:rFonts w:ascii="Cambria Math" w:hAnsi="Cambria Math"/>
          </w:rPr>
          <m:t>+</m:t>
        </m:r>
        <m:sSub>
          <m:sSubPr>
            <m:ctrlPr>
              <w:rPr>
                <w:rFonts w:ascii="Cambria Math" w:hAnsi="Cambria Math"/>
                <w:bCs/>
                <w:i/>
              </w:rPr>
            </m:ctrlPr>
          </m:sSubPr>
          <m:e>
            <m:r>
              <w:rPr>
                <w:rFonts w:ascii="Cambria Math" w:hAnsi="Cambria Math"/>
              </w:rPr>
              <m:t>C</m:t>
            </m:r>
          </m:e>
          <m:sub>
            <m:r>
              <w:rPr>
                <w:rFonts w:ascii="Cambria Math" w:hAnsi="Cambria Math"/>
              </w:rPr>
              <m:t>ип</m:t>
            </m:r>
          </m:sub>
        </m:sSub>
        <m:r>
          <w:rPr>
            <w:rFonts w:ascii="Cambria Math" w:hAnsi="Cambria Math"/>
          </w:rPr>
          <m:t>+</m:t>
        </m:r>
        <m:sSub>
          <m:sSubPr>
            <m:ctrlPr>
              <w:rPr>
                <w:rFonts w:ascii="Cambria Math" w:hAnsi="Cambria Math"/>
                <w:bCs/>
                <w:i/>
              </w:rPr>
            </m:ctrlPr>
          </m:sSubPr>
          <m:e>
            <m:r>
              <w:rPr>
                <w:rFonts w:ascii="Cambria Math" w:hAnsi="Cambria Math"/>
              </w:rPr>
              <m:t>C</m:t>
            </m:r>
          </m:e>
          <m:sub>
            <m:r>
              <w:rPr>
                <w:rFonts w:ascii="Cambria Math" w:hAnsi="Cambria Math"/>
              </w:rPr>
              <m:t>а</m:t>
            </m:r>
          </m:sub>
        </m:sSub>
        <m:r>
          <w:rPr>
            <w:rFonts w:ascii="Cambria Math" w:hAnsi="Cambria Math"/>
          </w:rPr>
          <m:t>+</m:t>
        </m:r>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sSub>
              <m:sSubPr>
                <m:ctrlPr>
                  <w:rPr>
                    <w:rFonts w:ascii="Cambria Math" w:hAnsi="Cambria Math"/>
                    <w:bCs/>
                    <w:i/>
                  </w:rPr>
                </m:ctrlPr>
              </m:sSubPr>
              <m:e>
                <m:r>
                  <w:rPr>
                    <w:rFonts w:ascii="Cambria Math" w:hAnsi="Cambria Math"/>
                  </w:rPr>
                  <m:t>C</m:t>
                </m:r>
              </m:e>
              <m:sub>
                <m:r>
                  <w:rPr>
                    <w:rFonts w:ascii="Cambria Math" w:hAnsi="Cambria Math"/>
                  </w:rPr>
                  <m:t>ик</m:t>
                </m:r>
                <m:r>
                  <w:rPr>
                    <w:rFonts w:ascii="Cambria Math" w:hAnsi="Cambria Math"/>
                    <w:lang w:val="en-US"/>
                  </w:rPr>
                  <m:t>i</m:t>
                </m:r>
              </m:sub>
            </m:sSub>
            <m:r>
              <w:rPr>
                <w:rFonts w:ascii="Cambria Math" w:hAnsi="Cambria Math"/>
              </w:rPr>
              <m:t>+</m:t>
            </m:r>
            <m:sSub>
              <m:sSubPr>
                <m:ctrlPr>
                  <w:rPr>
                    <w:rFonts w:ascii="Cambria Math" w:hAnsi="Cambria Math"/>
                    <w:bCs/>
                    <w:i/>
                  </w:rPr>
                </m:ctrlPr>
              </m:sSubPr>
              <m:e>
                <m:r>
                  <w:rPr>
                    <w:rFonts w:ascii="Cambria Math" w:hAnsi="Cambria Math"/>
                  </w:rPr>
                  <m:t>C</m:t>
                </m:r>
              </m:e>
              <m:sub>
                <m:r>
                  <w:rPr>
                    <w:rFonts w:ascii="Cambria Math" w:hAnsi="Cambria Math"/>
                  </w:rPr>
                  <m:t>рс</m:t>
                </m:r>
              </m:sub>
            </m:sSub>
          </m:e>
        </m:nary>
      </m:oMath>
      <w:r w:rsidRPr="006860E9">
        <w:rPr>
          <w:bCs/>
        </w:rPr>
        <w:tab/>
        <w:t>(1)</w:t>
      </w:r>
    </w:p>
    <w:p w:rsidR="00BD77F7" w:rsidRPr="006860E9" w:rsidRDefault="00BD77F7" w:rsidP="00BD77F7">
      <w:pPr>
        <w:ind w:firstLine="567"/>
        <w:jc w:val="both"/>
        <w:rPr>
          <w:bCs/>
        </w:rPr>
      </w:pPr>
      <w:proofErr w:type="gramStart"/>
      <w:r w:rsidRPr="006860E9">
        <w:rPr>
          <w:rFonts w:hint="eastAsia"/>
          <w:bCs/>
        </w:rPr>
        <w:t>где</w:t>
      </w:r>
      <w:r w:rsidRPr="006860E9">
        <w:rPr>
          <w:bCs/>
        </w:rPr>
        <w:t>:</w:t>
      </w:r>
      <w:r w:rsidRPr="006860E9">
        <w:rPr>
          <w:bCs/>
        </w:rPr>
        <w:tab/>
      </w:r>
      <w:proofErr w:type="spellStart"/>
      <w:proofErr w:type="gramEnd"/>
      <w:r w:rsidRPr="006860E9">
        <w:rPr>
          <w:bCs/>
          <w:i/>
          <w:iCs/>
        </w:rPr>
        <w:t>С</w:t>
      </w:r>
      <w:r w:rsidRPr="006860E9">
        <w:rPr>
          <w:bCs/>
          <w:vertAlign w:val="subscript"/>
        </w:rPr>
        <w:t>ос</w:t>
      </w:r>
      <w:proofErr w:type="spellEnd"/>
      <w:r w:rsidRPr="006860E9">
        <w:rPr>
          <w:bCs/>
        </w:rPr>
        <w:t xml:space="preserve"> – стоимость работ, проводимых ОС продукции, руб.;</w:t>
      </w:r>
    </w:p>
    <w:p w:rsidR="00BD77F7" w:rsidRPr="006860E9" w:rsidRDefault="00BD77F7" w:rsidP="00BD77F7">
      <w:pPr>
        <w:ind w:firstLine="567"/>
        <w:jc w:val="both"/>
        <w:rPr>
          <w:bCs/>
        </w:rPr>
      </w:pPr>
      <w:proofErr w:type="spellStart"/>
      <w:r w:rsidRPr="006860E9">
        <w:rPr>
          <w:rFonts w:hint="eastAsia"/>
          <w:bCs/>
          <w:i/>
          <w:iCs/>
        </w:rPr>
        <w:t>С</w:t>
      </w:r>
      <w:r w:rsidRPr="006860E9">
        <w:rPr>
          <w:bCs/>
          <w:vertAlign w:val="subscript"/>
        </w:rPr>
        <w:t>об</w:t>
      </w:r>
      <w:proofErr w:type="spellEnd"/>
      <w:r w:rsidRPr="006860E9">
        <w:rPr>
          <w:bCs/>
        </w:rPr>
        <w:t>– стоимость образцов, отобранных для сертификационных испытаний (разрушающих), руб.;</w:t>
      </w:r>
    </w:p>
    <w:p w:rsidR="00BD77F7" w:rsidRPr="006860E9" w:rsidRDefault="00BD77F7" w:rsidP="00BD77F7">
      <w:pPr>
        <w:ind w:firstLine="567"/>
        <w:jc w:val="both"/>
        <w:rPr>
          <w:bCs/>
        </w:rPr>
      </w:pPr>
      <w:r w:rsidRPr="006860E9">
        <w:rPr>
          <w:rFonts w:hint="eastAsia"/>
          <w:bCs/>
          <w:i/>
          <w:iCs/>
        </w:rPr>
        <w:t>С</w:t>
      </w:r>
      <w:r w:rsidRPr="006860E9">
        <w:rPr>
          <w:bCs/>
          <w:vertAlign w:val="subscript"/>
        </w:rPr>
        <w:t>ип</w:t>
      </w:r>
      <w:r w:rsidRPr="006860E9">
        <w:rPr>
          <w:bCs/>
        </w:rPr>
        <w:t xml:space="preserve"> – стоимость испытаний продукции в аккредитованной испытательной лаборатории, руб.;</w:t>
      </w:r>
    </w:p>
    <w:p w:rsidR="00BD77F7" w:rsidRPr="006860E9" w:rsidRDefault="00BD77F7" w:rsidP="00BD77F7">
      <w:pPr>
        <w:ind w:firstLine="567"/>
        <w:jc w:val="both"/>
        <w:rPr>
          <w:bCs/>
        </w:rPr>
      </w:pPr>
      <w:proofErr w:type="spellStart"/>
      <w:r w:rsidRPr="006860E9">
        <w:rPr>
          <w:rFonts w:hint="eastAsia"/>
          <w:bCs/>
          <w:i/>
          <w:iCs/>
        </w:rPr>
        <w:t>С</w:t>
      </w:r>
      <w:r w:rsidRPr="006860E9">
        <w:rPr>
          <w:bCs/>
          <w:vertAlign w:val="subscript"/>
        </w:rPr>
        <w:t>а</w:t>
      </w:r>
      <w:proofErr w:type="spellEnd"/>
      <w:r w:rsidRPr="006860E9">
        <w:rPr>
          <w:bCs/>
        </w:rPr>
        <w:t>– стоимость анализа состояния производства;</w:t>
      </w:r>
    </w:p>
    <w:p w:rsidR="00BD77F7" w:rsidRPr="006860E9" w:rsidRDefault="00BD77F7" w:rsidP="00BD77F7">
      <w:pPr>
        <w:ind w:firstLine="567"/>
        <w:jc w:val="both"/>
        <w:rPr>
          <w:bCs/>
        </w:rPr>
      </w:pPr>
      <w:proofErr w:type="spellStart"/>
      <w:r w:rsidRPr="006860E9">
        <w:rPr>
          <w:rFonts w:hint="eastAsia"/>
          <w:bCs/>
          <w:i/>
          <w:iCs/>
        </w:rPr>
        <w:t>С</w:t>
      </w:r>
      <w:r w:rsidRPr="006860E9">
        <w:rPr>
          <w:bCs/>
          <w:vertAlign w:val="subscript"/>
        </w:rPr>
        <w:t>ик</w:t>
      </w:r>
      <w:r w:rsidRPr="006860E9">
        <w:rPr>
          <w:bCs/>
          <w:i/>
          <w:iCs/>
          <w:vertAlign w:val="subscript"/>
        </w:rPr>
        <w:t>i</w:t>
      </w:r>
      <w:proofErr w:type="spellEnd"/>
      <w:r w:rsidRPr="006860E9">
        <w:rPr>
          <w:bCs/>
        </w:rPr>
        <w:t xml:space="preserve"> – стоимость одной проверки, проводимой в рамках инспекционного контроля за соответствием сертифицированной в обязательном порядке продукции, требованиям НД, руб.;</w:t>
      </w:r>
    </w:p>
    <w:p w:rsidR="00BD77F7" w:rsidRPr="006860E9" w:rsidRDefault="00BD77F7" w:rsidP="00BD77F7">
      <w:pPr>
        <w:ind w:firstLine="567"/>
        <w:jc w:val="both"/>
        <w:rPr>
          <w:bCs/>
        </w:rPr>
      </w:pPr>
      <w:r w:rsidRPr="006860E9">
        <w:rPr>
          <w:bCs/>
          <w:i/>
          <w:iCs/>
        </w:rPr>
        <w:lastRenderedPageBreak/>
        <w:t>n</w:t>
      </w:r>
      <w:r w:rsidRPr="006860E9">
        <w:rPr>
          <w:bCs/>
        </w:rPr>
        <w:t xml:space="preserve">– число проверок, предусмотренных программой инспекционного контроля за сертифицированной продукцией в течение срока действия сертификата соответствия; </w:t>
      </w:r>
    </w:p>
    <w:p w:rsidR="00BD77F7" w:rsidRPr="006860E9" w:rsidRDefault="00BD77F7" w:rsidP="00BD77F7">
      <w:pPr>
        <w:ind w:firstLine="567"/>
        <w:jc w:val="both"/>
        <w:rPr>
          <w:bCs/>
        </w:rPr>
      </w:pPr>
      <w:proofErr w:type="spellStart"/>
      <w:r w:rsidRPr="006860E9">
        <w:rPr>
          <w:bCs/>
          <w:i/>
          <w:iCs/>
        </w:rPr>
        <w:t>C</w:t>
      </w:r>
      <w:r w:rsidRPr="006860E9">
        <w:rPr>
          <w:bCs/>
          <w:vertAlign w:val="subscript"/>
        </w:rPr>
        <w:t>рс</w:t>
      </w:r>
      <w:proofErr w:type="spellEnd"/>
      <w:r w:rsidRPr="006860E9">
        <w:rPr>
          <w:bCs/>
        </w:rPr>
        <w:t xml:space="preserve"> – расходы на упаковку, хранение, утилизацию, погрузочно-разгрузочные работы и транспортировку образцов к месту испытаний, руб.</w:t>
      </w:r>
    </w:p>
    <w:p w:rsidR="00BD77F7" w:rsidRPr="006860E9" w:rsidRDefault="00BD77F7" w:rsidP="00BD77F7">
      <w:pPr>
        <w:ind w:firstLine="567"/>
        <w:jc w:val="both"/>
        <w:rPr>
          <w:bCs/>
        </w:rPr>
      </w:pPr>
      <w:r w:rsidRPr="006860E9">
        <w:rPr>
          <w:rFonts w:hint="eastAsia"/>
          <w:bCs/>
        </w:rPr>
        <w:t>В</w:t>
      </w:r>
      <w:r w:rsidRPr="006860E9">
        <w:rPr>
          <w:bCs/>
        </w:rPr>
        <w:t xml:space="preserve"> зависимости от конкретной ситуации в формулу для расчета стоимости работ по сертификации включаются только элементы, соответствующие составу фактически проводимых работ.</w:t>
      </w:r>
    </w:p>
    <w:p w:rsidR="00BD77F7" w:rsidRPr="006860E9" w:rsidRDefault="00BD77F7" w:rsidP="00BD77F7">
      <w:pPr>
        <w:pStyle w:val="a5"/>
        <w:numPr>
          <w:ilvl w:val="1"/>
          <w:numId w:val="2"/>
        </w:numPr>
        <w:ind w:firstLine="567"/>
        <w:jc w:val="both"/>
        <w:rPr>
          <w:bCs/>
        </w:rPr>
      </w:pPr>
      <w:r w:rsidRPr="006860E9">
        <w:rPr>
          <w:bCs/>
        </w:rPr>
        <w:t>Затраты ОС продукции при обязательной сертификации продукции определяются по формуле:</w:t>
      </w:r>
    </w:p>
    <w:p w:rsidR="00BD77F7" w:rsidRPr="007A3965" w:rsidRDefault="00BD77F7" w:rsidP="00BD77F7">
      <w:pPr>
        <w:ind w:firstLine="567"/>
        <w:jc w:val="center"/>
        <w:rPr>
          <w:bCs/>
          <w:iCs/>
        </w:rPr>
      </w:pPr>
      <m:oMath>
        <m:sSub>
          <m:sSubPr>
            <m:ctrlPr>
              <w:rPr>
                <w:rFonts w:ascii="Cambria Math" w:hAnsi="Cambria Math"/>
                <w:bCs/>
                <w:i/>
              </w:rPr>
            </m:ctrlPr>
          </m:sSubPr>
          <m:e>
            <m:r>
              <w:rPr>
                <w:rFonts w:ascii="Cambria Math" w:hAnsi="Cambria Math"/>
              </w:rPr>
              <m:t>C</m:t>
            </m:r>
          </m:e>
          <m:sub>
            <m:r>
              <w:rPr>
                <w:rFonts w:ascii="Cambria Math" w:hAnsi="Cambria Math"/>
              </w:rPr>
              <m:t>ос</m:t>
            </m:r>
          </m:sub>
        </m:sSub>
        <m:r>
          <w:rPr>
            <w:rFonts w:ascii="Cambria Math" w:hAnsi="Cambria Math"/>
          </w:rPr>
          <m:t>=</m:t>
        </m:r>
        <m:sSub>
          <m:sSubPr>
            <m:ctrlPr>
              <w:rPr>
                <w:rFonts w:ascii="Cambria Math" w:hAnsi="Cambria Math"/>
                <w:bCs/>
                <w:i/>
              </w:rPr>
            </m:ctrlPr>
          </m:sSubPr>
          <m:e>
            <m:r>
              <w:rPr>
                <w:rFonts w:ascii="Cambria Math" w:hAnsi="Cambria Math"/>
              </w:rPr>
              <m:t>τ</m:t>
            </m:r>
          </m:e>
          <m:sub>
            <m:r>
              <w:rPr>
                <w:rFonts w:ascii="Cambria Math" w:hAnsi="Cambria Math"/>
              </w:rPr>
              <m:t>ос</m:t>
            </m:r>
            <m:r>
              <w:rPr>
                <w:rFonts w:ascii="Cambria Math" w:hAnsi="Cambria Math"/>
                <w:lang w:val="en-US"/>
              </w:rPr>
              <m:t>i</m:t>
            </m:r>
          </m:sub>
        </m:sSub>
        <m:r>
          <w:rPr>
            <w:rFonts w:ascii="Cambria Math" w:hAnsi="Cambria Math"/>
          </w:rPr>
          <m:t>*</m:t>
        </m:r>
        <m:r>
          <w:rPr>
            <w:rFonts w:ascii="Cambria Math" w:hAnsi="Cambria Math"/>
            <w:lang w:val="en-US"/>
          </w:rPr>
          <m:t>T</m:t>
        </m:r>
        <m:r>
          <w:rPr>
            <w:rFonts w:ascii="Cambria Math" w:hAnsi="Cambria Math"/>
          </w:rPr>
          <m:t>*</m:t>
        </m:r>
        <m:d>
          <m:dPr>
            <m:ctrlPr>
              <w:rPr>
                <w:rFonts w:ascii="Cambria Math" w:hAnsi="Cambria Math"/>
                <w:bCs/>
                <w:i/>
                <w:lang w:val="en-US"/>
              </w:rPr>
            </m:ctrlPr>
          </m:dPr>
          <m:e>
            <m:r>
              <w:rPr>
                <w:rFonts w:ascii="Cambria Math" w:hAnsi="Cambria Math"/>
              </w:rPr>
              <m:t>1+</m:t>
            </m:r>
            <m:f>
              <m:fPr>
                <m:ctrlPr>
                  <w:rPr>
                    <w:rFonts w:ascii="Cambria Math" w:hAnsi="Cambria Math"/>
                    <w:bCs/>
                    <w:i/>
                  </w:rPr>
                </m:ctrlPr>
              </m:fPr>
              <m:num>
                <m:sSub>
                  <m:sSubPr>
                    <m:ctrlPr>
                      <w:rPr>
                        <w:rFonts w:ascii="Cambria Math" w:hAnsi="Cambria Math"/>
                        <w:bCs/>
                        <w:i/>
                      </w:rPr>
                    </m:ctrlPr>
                  </m:sSubPr>
                  <m:e>
                    <m:r>
                      <w:rPr>
                        <w:rFonts w:ascii="Cambria Math" w:hAnsi="Cambria Math"/>
                      </w:rPr>
                      <m:t>K</m:t>
                    </m:r>
                  </m:e>
                  <m:sub>
                    <m:r>
                      <w:rPr>
                        <w:rFonts w:ascii="Cambria Math" w:hAnsi="Cambria Math"/>
                      </w:rPr>
                      <m:t>нз</m:t>
                    </m:r>
                  </m:sub>
                </m:sSub>
                <m:sSub>
                  <m:sSubPr>
                    <m:ctrlPr>
                      <w:rPr>
                        <w:rFonts w:ascii="Cambria Math" w:hAnsi="Cambria Math"/>
                        <w:bCs/>
                        <w:i/>
                      </w:rPr>
                    </m:ctrlPr>
                  </m:sSubPr>
                  <m:e>
                    <m:r>
                      <w:rPr>
                        <w:rFonts w:ascii="Cambria Math" w:hAnsi="Cambria Math"/>
                      </w:rPr>
                      <m:t>+K</m:t>
                    </m:r>
                  </m:e>
                  <m:sub>
                    <m:r>
                      <w:rPr>
                        <w:rFonts w:ascii="Cambria Math" w:hAnsi="Cambria Math"/>
                      </w:rPr>
                      <m:t>нр</m:t>
                    </m:r>
                  </m:sub>
                </m:sSub>
              </m:num>
              <m:den>
                <m:r>
                  <w:rPr>
                    <w:rFonts w:ascii="Cambria Math" w:hAnsi="Cambria Math"/>
                  </w:rPr>
                  <m:t>100</m:t>
                </m:r>
              </m:den>
            </m:f>
            <m:ctrlPr>
              <w:rPr>
                <w:rFonts w:ascii="Cambria Math" w:hAnsi="Cambria Math"/>
                <w:bCs/>
                <w:i/>
              </w:rPr>
            </m:ctrlPr>
          </m:e>
        </m:d>
        <m:r>
          <w:rPr>
            <w:rFonts w:ascii="Cambria Math" w:hAnsi="Cambria Math"/>
          </w:rPr>
          <m:t>+</m:t>
        </m:r>
        <m:d>
          <m:dPr>
            <m:ctrlPr>
              <w:rPr>
                <w:rFonts w:ascii="Cambria Math" w:hAnsi="Cambria Math"/>
                <w:bCs/>
                <w:i/>
              </w:rPr>
            </m:ctrlPr>
          </m:dPr>
          <m:e>
            <m:r>
              <w:rPr>
                <w:rFonts w:ascii="Cambria Math" w:hAnsi="Cambria Math"/>
              </w:rPr>
              <m:t>1+</m:t>
            </m:r>
            <m:f>
              <m:fPr>
                <m:ctrlPr>
                  <w:rPr>
                    <w:rFonts w:ascii="Cambria Math" w:hAnsi="Cambria Math"/>
                    <w:bCs/>
                    <w:i/>
                  </w:rPr>
                </m:ctrlPr>
              </m:fPr>
              <m:num>
                <m:r>
                  <w:rPr>
                    <w:rFonts w:ascii="Cambria Math" w:hAnsi="Cambria Math"/>
                  </w:rPr>
                  <m:t>P</m:t>
                </m:r>
              </m:num>
              <m:den>
                <m:r>
                  <w:rPr>
                    <w:rFonts w:ascii="Cambria Math" w:hAnsi="Cambria Math"/>
                  </w:rPr>
                  <m:t>100</m:t>
                </m:r>
              </m:den>
            </m:f>
          </m:e>
        </m:d>
        <m:r>
          <w:rPr>
            <w:rFonts w:ascii="Cambria Math" w:hAnsi="Cambria Math"/>
          </w:rPr>
          <m:t>,</m:t>
        </m:r>
      </m:oMath>
      <w:r w:rsidRPr="007A3965">
        <w:rPr>
          <w:bCs/>
          <w:iCs/>
        </w:rPr>
        <w:tab/>
        <w:t>(2)</w:t>
      </w:r>
    </w:p>
    <w:p w:rsidR="00BD77F7" w:rsidRPr="007A3965" w:rsidRDefault="00BD77F7" w:rsidP="00BD77F7">
      <w:pPr>
        <w:ind w:firstLine="567"/>
        <w:jc w:val="both"/>
        <w:rPr>
          <w:bCs/>
        </w:rPr>
      </w:pPr>
      <w:proofErr w:type="gramStart"/>
      <w:r w:rsidRPr="007A3965">
        <w:rPr>
          <w:rFonts w:hint="eastAsia"/>
          <w:bCs/>
        </w:rPr>
        <w:t>где</w:t>
      </w:r>
      <w:r w:rsidRPr="007A3965">
        <w:rPr>
          <w:bCs/>
        </w:rPr>
        <w:t>:</w:t>
      </w:r>
      <w:r w:rsidRPr="007A3965">
        <w:rPr>
          <w:bCs/>
        </w:rPr>
        <w:tab/>
      </w:r>
      <w:proofErr w:type="spellStart"/>
      <w:proofErr w:type="gramEnd"/>
      <w:r w:rsidRPr="007A3965">
        <w:rPr>
          <w:bCs/>
          <w:i/>
          <w:iCs/>
        </w:rPr>
        <w:t>τ</w:t>
      </w:r>
      <w:r w:rsidRPr="007A3965">
        <w:rPr>
          <w:bCs/>
          <w:vertAlign w:val="subscript"/>
        </w:rPr>
        <w:t>ос</w:t>
      </w:r>
      <w:r w:rsidRPr="007A3965">
        <w:rPr>
          <w:bCs/>
          <w:i/>
          <w:iCs/>
          <w:vertAlign w:val="subscript"/>
        </w:rPr>
        <w:t>i</w:t>
      </w:r>
      <w:proofErr w:type="spellEnd"/>
      <w:r w:rsidRPr="007A3965">
        <w:rPr>
          <w:bCs/>
        </w:rPr>
        <w:t xml:space="preserve"> – трудоемкость обязательной сертификации конкретной продукции по </w:t>
      </w:r>
      <w:r w:rsidRPr="007A3965">
        <w:rPr>
          <w:bCs/>
          <w:i/>
          <w:iCs/>
        </w:rPr>
        <w:t>i</w:t>
      </w:r>
      <w:r w:rsidRPr="007A3965">
        <w:rPr>
          <w:bCs/>
        </w:rPr>
        <w:t>-й схеме сертификации, чел.-</w:t>
      </w:r>
      <w:proofErr w:type="spellStart"/>
      <w:r w:rsidRPr="007A3965">
        <w:rPr>
          <w:bCs/>
        </w:rPr>
        <w:t>дн</w:t>
      </w:r>
      <w:proofErr w:type="spellEnd"/>
      <w:r w:rsidRPr="007A3965">
        <w:rPr>
          <w:bCs/>
        </w:rPr>
        <w:t>.;</w:t>
      </w:r>
    </w:p>
    <w:p w:rsidR="00BD77F7" w:rsidRPr="007A3965" w:rsidRDefault="00BD77F7" w:rsidP="00BD77F7">
      <w:pPr>
        <w:ind w:firstLine="680"/>
        <w:jc w:val="both"/>
        <w:rPr>
          <w:bCs/>
        </w:rPr>
      </w:pPr>
      <w:r w:rsidRPr="007A3965">
        <w:rPr>
          <w:rFonts w:hint="eastAsia"/>
          <w:bCs/>
          <w:i/>
          <w:iCs/>
        </w:rPr>
        <w:t>Т</w:t>
      </w:r>
      <w:r w:rsidRPr="007A3965">
        <w:rPr>
          <w:bCs/>
        </w:rPr>
        <w:t xml:space="preserve"> – дневная ставка эксперта, руб.;</w:t>
      </w:r>
    </w:p>
    <w:p w:rsidR="00BD77F7" w:rsidRPr="007A3965" w:rsidRDefault="00BD77F7" w:rsidP="00BD77F7">
      <w:pPr>
        <w:ind w:firstLine="567"/>
        <w:jc w:val="both"/>
        <w:rPr>
          <w:bCs/>
        </w:rPr>
      </w:pPr>
      <w:proofErr w:type="spellStart"/>
      <w:r w:rsidRPr="007A3965">
        <w:rPr>
          <w:rFonts w:hint="eastAsia"/>
          <w:bCs/>
          <w:i/>
          <w:iCs/>
        </w:rPr>
        <w:t>К</w:t>
      </w:r>
      <w:r w:rsidRPr="007A3965">
        <w:rPr>
          <w:bCs/>
          <w:vertAlign w:val="subscript"/>
        </w:rPr>
        <w:t>нз</w:t>
      </w:r>
      <w:proofErr w:type="spellEnd"/>
      <w:r w:rsidRPr="007A3965">
        <w:rPr>
          <w:bCs/>
        </w:rPr>
        <w:t xml:space="preserve"> – норматив начислений на заработную плату, установленный действующим законодательством, %;</w:t>
      </w:r>
    </w:p>
    <w:p w:rsidR="00BD77F7" w:rsidRPr="007A3965" w:rsidRDefault="00BD77F7" w:rsidP="00BD77F7">
      <w:pPr>
        <w:ind w:firstLine="567"/>
        <w:jc w:val="both"/>
        <w:rPr>
          <w:bCs/>
        </w:rPr>
      </w:pPr>
      <w:proofErr w:type="spellStart"/>
      <w:r w:rsidRPr="007A3965">
        <w:rPr>
          <w:rFonts w:hint="eastAsia"/>
          <w:bCs/>
          <w:i/>
          <w:iCs/>
        </w:rPr>
        <w:t>К</w:t>
      </w:r>
      <w:r w:rsidRPr="007A3965">
        <w:rPr>
          <w:bCs/>
          <w:vertAlign w:val="subscript"/>
        </w:rPr>
        <w:t>нр</w:t>
      </w:r>
      <w:proofErr w:type="spellEnd"/>
      <w:r w:rsidRPr="007A3965">
        <w:rPr>
          <w:bCs/>
        </w:rPr>
        <w:t xml:space="preserve"> – коэффициент накладных расходов, %;</w:t>
      </w:r>
    </w:p>
    <w:p w:rsidR="00BD77F7" w:rsidRPr="007A3965" w:rsidRDefault="00BD77F7" w:rsidP="00BD77F7">
      <w:pPr>
        <w:ind w:firstLine="567"/>
        <w:jc w:val="both"/>
        <w:rPr>
          <w:bCs/>
        </w:rPr>
      </w:pPr>
      <w:r w:rsidRPr="007A3965">
        <w:rPr>
          <w:rFonts w:hint="eastAsia"/>
          <w:bCs/>
          <w:i/>
          <w:iCs/>
        </w:rPr>
        <w:t>Р</w:t>
      </w:r>
      <w:r w:rsidRPr="007A3965">
        <w:rPr>
          <w:bCs/>
        </w:rPr>
        <w:t xml:space="preserve"> – уровень рентабельности, %.</w:t>
      </w:r>
    </w:p>
    <w:p w:rsidR="00BD77F7" w:rsidRPr="007A3965" w:rsidRDefault="00BD77F7" w:rsidP="00BD77F7">
      <w:pPr>
        <w:pStyle w:val="a5"/>
        <w:numPr>
          <w:ilvl w:val="1"/>
          <w:numId w:val="2"/>
        </w:numPr>
        <w:ind w:firstLine="567"/>
        <w:jc w:val="both"/>
        <w:rPr>
          <w:bCs/>
        </w:rPr>
      </w:pPr>
      <w:r w:rsidRPr="007A3965">
        <w:rPr>
          <w:bCs/>
        </w:rPr>
        <w:t>Предельные нормативы трудоемкости и состав работ, выполняемых ОС при сертификации продукции, в зависимости от схемы сертификации, приведены в приложении 1.</w:t>
      </w:r>
    </w:p>
    <w:p w:rsidR="00BD77F7" w:rsidRPr="007A3965" w:rsidRDefault="00BD77F7" w:rsidP="00BD77F7">
      <w:pPr>
        <w:pStyle w:val="a5"/>
        <w:numPr>
          <w:ilvl w:val="1"/>
          <w:numId w:val="2"/>
        </w:numPr>
        <w:ind w:firstLine="567"/>
        <w:jc w:val="both"/>
        <w:rPr>
          <w:bCs/>
        </w:rPr>
      </w:pPr>
      <w:r w:rsidRPr="007A3965">
        <w:rPr>
          <w:bCs/>
        </w:rPr>
        <w:t>Нормативы суммарной трудоемкости работ (таблица 1.1 приложения 1), выполняемых ОС при анализе производства, проводимого при обязательной сертификации продукции, приведены в приложении 2.</w:t>
      </w:r>
    </w:p>
    <w:p w:rsidR="00BD77F7" w:rsidRPr="007A3965" w:rsidRDefault="00BD77F7" w:rsidP="00BD77F7">
      <w:pPr>
        <w:pStyle w:val="a5"/>
        <w:numPr>
          <w:ilvl w:val="1"/>
          <w:numId w:val="2"/>
        </w:numPr>
        <w:ind w:firstLine="567"/>
        <w:jc w:val="both"/>
        <w:rPr>
          <w:bCs/>
        </w:rPr>
      </w:pPr>
      <w:r w:rsidRPr="007A3965">
        <w:rPr>
          <w:bCs/>
        </w:rPr>
        <w:t xml:space="preserve">Затраты на испытания при обязательной сертификации продукции калькулируются аккредитованной испытательной лабораторией на основе самостоятельно установленных нормативов материальных и трудовых затрат в действующих ценах с учетом требований п.2.1 и 2.2 настоящего порядка и доводится до сведения заинтересованных сторон. </w:t>
      </w:r>
    </w:p>
    <w:p w:rsidR="00BD77F7" w:rsidRPr="007A3965" w:rsidRDefault="00BD77F7" w:rsidP="00BD77F7">
      <w:pPr>
        <w:pStyle w:val="a5"/>
        <w:ind w:left="0" w:firstLine="567"/>
        <w:jc w:val="both"/>
        <w:rPr>
          <w:bCs/>
        </w:rPr>
      </w:pPr>
      <w:r w:rsidRPr="007A3965">
        <w:rPr>
          <w:rFonts w:hint="eastAsia"/>
          <w:bCs/>
        </w:rPr>
        <w:t>Стоимость</w:t>
      </w:r>
      <w:r w:rsidRPr="007A3965">
        <w:rPr>
          <w:bCs/>
        </w:rPr>
        <w:t xml:space="preserve"> проведения исследований (испытаний) и измерений определяется индивидуально для каждого образца продукции и предоставляется в ОС АО «ЦСИ «Огнестойкость» по запросу.</w:t>
      </w:r>
    </w:p>
    <w:p w:rsidR="00BD77F7" w:rsidRPr="007A3965" w:rsidRDefault="00BD77F7" w:rsidP="00BD77F7">
      <w:pPr>
        <w:pStyle w:val="a5"/>
        <w:numPr>
          <w:ilvl w:val="1"/>
          <w:numId w:val="2"/>
        </w:numPr>
        <w:ind w:firstLine="567"/>
        <w:jc w:val="both"/>
        <w:rPr>
          <w:bCs/>
        </w:rPr>
      </w:pPr>
      <w:r w:rsidRPr="007A3965">
        <w:rPr>
          <w:bCs/>
        </w:rPr>
        <w:t>Стоимость образцов, взятых у изготовителя для разрушающих испытаний, определяется по их фактической себестоимости.</w:t>
      </w:r>
    </w:p>
    <w:p w:rsidR="00BD77F7" w:rsidRPr="007A3965" w:rsidRDefault="00BD77F7" w:rsidP="00BD77F7">
      <w:pPr>
        <w:pStyle w:val="a5"/>
        <w:ind w:left="0" w:firstLine="567"/>
        <w:jc w:val="both"/>
        <w:rPr>
          <w:bCs/>
        </w:rPr>
      </w:pPr>
      <w:r w:rsidRPr="007A3965">
        <w:rPr>
          <w:rFonts w:hint="eastAsia"/>
          <w:bCs/>
        </w:rPr>
        <w:t>Стоимость</w:t>
      </w:r>
      <w:r w:rsidRPr="007A3965">
        <w:rPr>
          <w:bCs/>
        </w:rPr>
        <w:t xml:space="preserve"> образцов, отобранных в торговле, определяется в соответствии с их розничной ценой на основании документов, удостоверяющих факт покупки.</w:t>
      </w:r>
    </w:p>
    <w:p w:rsidR="00BD77F7" w:rsidRPr="007A3965" w:rsidRDefault="00BD77F7" w:rsidP="00BD77F7">
      <w:pPr>
        <w:pStyle w:val="a5"/>
        <w:numPr>
          <w:ilvl w:val="1"/>
          <w:numId w:val="2"/>
        </w:numPr>
        <w:ind w:firstLine="567"/>
        <w:jc w:val="both"/>
        <w:rPr>
          <w:bCs/>
        </w:rPr>
      </w:pPr>
      <w:r w:rsidRPr="007A3965">
        <w:rPr>
          <w:bCs/>
        </w:rPr>
        <w:t>Затраты на испытания, проводимые в целях выдачи сертификата соответствия, калькулируются с учетом рентабельности.</w:t>
      </w:r>
    </w:p>
    <w:p w:rsidR="00BD77F7" w:rsidRPr="007A3965" w:rsidRDefault="00BD77F7" w:rsidP="00BD77F7">
      <w:pPr>
        <w:pStyle w:val="a5"/>
        <w:ind w:left="0" w:firstLine="567"/>
        <w:jc w:val="both"/>
        <w:rPr>
          <w:bCs/>
        </w:rPr>
      </w:pPr>
      <w:r w:rsidRPr="007A3965">
        <w:rPr>
          <w:rFonts w:hint="eastAsia"/>
          <w:bCs/>
        </w:rPr>
        <w:t>Затраты</w:t>
      </w:r>
      <w:r w:rsidRPr="007A3965">
        <w:rPr>
          <w:bCs/>
        </w:rPr>
        <w:t xml:space="preserve"> на испытания, проводимые в рамках инспекционного контроля за сертифицированной продукцией, калькулируются без учета рентабельности.</w:t>
      </w:r>
    </w:p>
    <w:p w:rsidR="00BD77F7" w:rsidRPr="007A3965" w:rsidRDefault="00BD77F7" w:rsidP="00BD77F7">
      <w:pPr>
        <w:pStyle w:val="a5"/>
        <w:numPr>
          <w:ilvl w:val="1"/>
          <w:numId w:val="2"/>
        </w:numPr>
        <w:ind w:firstLine="567"/>
        <w:jc w:val="both"/>
        <w:rPr>
          <w:bCs/>
        </w:rPr>
      </w:pPr>
      <w:r w:rsidRPr="007A3965">
        <w:rPr>
          <w:bCs/>
        </w:rPr>
        <w:t>Затраты на инспекционный контроль оцениваются в рамках работ по сертификации, выполняемых ОС.</w:t>
      </w:r>
    </w:p>
    <w:p w:rsidR="00BD77F7" w:rsidRPr="007A3965" w:rsidRDefault="00BD77F7" w:rsidP="00BD77F7">
      <w:pPr>
        <w:pStyle w:val="a5"/>
        <w:numPr>
          <w:ilvl w:val="1"/>
          <w:numId w:val="2"/>
        </w:numPr>
        <w:ind w:firstLine="567"/>
        <w:jc w:val="both"/>
        <w:rPr>
          <w:bCs/>
        </w:rPr>
      </w:pPr>
      <w:r w:rsidRPr="007A3965">
        <w:rPr>
          <w:bCs/>
        </w:rPr>
        <w:t>Трудоемкость одной инспекционной проверки за соответствием сертифицированной продукции требованиям НД не должна превышать 70% трудоемкости ее сертификации.</w:t>
      </w:r>
    </w:p>
    <w:p w:rsidR="00BD77F7" w:rsidRPr="007A3965" w:rsidRDefault="00BD77F7" w:rsidP="00BD77F7">
      <w:pPr>
        <w:pStyle w:val="a5"/>
        <w:numPr>
          <w:ilvl w:val="1"/>
          <w:numId w:val="2"/>
        </w:numPr>
        <w:ind w:firstLine="567"/>
        <w:jc w:val="both"/>
        <w:rPr>
          <w:bCs/>
        </w:rPr>
      </w:pPr>
      <w:r w:rsidRPr="007A3965">
        <w:rPr>
          <w:bCs/>
        </w:rPr>
        <w:t>Если по результатам инспекционной проверки за соответствием сертифицированной продукции требованиям НД признано необходимым осуществить корректирующие мероприятия, то ОС выполняет работы, перечень и трудоемкость которых приведены в приложении 1.</w:t>
      </w:r>
    </w:p>
    <w:p w:rsidR="00BD77F7" w:rsidRPr="007A3965" w:rsidRDefault="00BD77F7" w:rsidP="00BD77F7">
      <w:pPr>
        <w:pStyle w:val="a5"/>
        <w:numPr>
          <w:ilvl w:val="1"/>
          <w:numId w:val="2"/>
        </w:numPr>
        <w:ind w:firstLine="567"/>
        <w:jc w:val="both"/>
        <w:rPr>
          <w:bCs/>
        </w:rPr>
      </w:pPr>
      <w:r w:rsidRPr="007A3965">
        <w:rPr>
          <w:bCs/>
        </w:rPr>
        <w:t>В случае положительного результата работ по обязательной сертификации взимается плата за выдачу сертификата соответствия.</w:t>
      </w:r>
    </w:p>
    <w:p w:rsidR="00BD77F7" w:rsidRPr="006860E9" w:rsidRDefault="00BD77F7" w:rsidP="00BD77F7">
      <w:pPr>
        <w:spacing w:after="200"/>
        <w:ind w:firstLine="567"/>
        <w:rPr>
          <w:b/>
          <w:color w:val="FF0000"/>
        </w:rPr>
      </w:pPr>
      <w:r w:rsidRPr="006860E9">
        <w:rPr>
          <w:b/>
          <w:color w:val="FF0000"/>
        </w:rPr>
        <w:br w:type="page"/>
      </w:r>
    </w:p>
    <w:p w:rsidR="00BD77F7" w:rsidRPr="007A3965" w:rsidRDefault="00BD77F7" w:rsidP="00BD77F7">
      <w:pPr>
        <w:spacing w:after="200"/>
        <w:jc w:val="right"/>
        <w:outlineLvl w:val="0"/>
        <w:rPr>
          <w:b/>
        </w:rPr>
      </w:pPr>
      <w:bookmarkStart w:id="2" w:name="_Toc62206175"/>
      <w:bookmarkStart w:id="3" w:name="_Toc76635947"/>
      <w:r w:rsidRPr="007A3965">
        <w:rPr>
          <w:b/>
        </w:rPr>
        <w:lastRenderedPageBreak/>
        <w:t>ПРИЛОЖЕНИЯ</w:t>
      </w:r>
      <w:bookmarkEnd w:id="2"/>
      <w:bookmarkEnd w:id="3"/>
    </w:p>
    <w:p w:rsidR="00BD77F7" w:rsidRPr="007A3965" w:rsidRDefault="00BD77F7" w:rsidP="00BD77F7">
      <w:pPr>
        <w:spacing w:after="200"/>
        <w:jc w:val="right"/>
        <w:rPr>
          <w:bCs/>
        </w:rPr>
      </w:pPr>
      <w:r w:rsidRPr="007A3965">
        <w:rPr>
          <w:bCs/>
        </w:rPr>
        <w:t>Приложение 1</w:t>
      </w:r>
    </w:p>
    <w:p w:rsidR="00BD77F7" w:rsidRPr="007A3965" w:rsidRDefault="00BD77F7" w:rsidP="00BD77F7">
      <w:pPr>
        <w:spacing w:after="200"/>
        <w:jc w:val="center"/>
        <w:rPr>
          <w:b/>
          <w:bCs/>
        </w:rPr>
      </w:pPr>
      <w:r w:rsidRPr="007A3965">
        <w:rPr>
          <w:b/>
          <w:bCs/>
        </w:rPr>
        <w:t xml:space="preserve">Таблица 1.1 </w:t>
      </w:r>
      <w:r w:rsidRPr="007A3965">
        <w:rPr>
          <w:b/>
          <w:bCs/>
        </w:rPr>
        <w:br/>
        <w:t>Состав (наименование) и предельные нормативы трудоемкости оплачиваемых заявителем работ органа по сертификации продукции при сертификации продукции</w:t>
      </w:r>
    </w:p>
    <w:tbl>
      <w:tblPr>
        <w:tblStyle w:val="a6"/>
        <w:tblW w:w="8217" w:type="dxa"/>
        <w:jc w:val="center"/>
        <w:tblLayout w:type="fixed"/>
        <w:tblLook w:val="04A0" w:firstRow="1" w:lastRow="0" w:firstColumn="1" w:lastColumn="0" w:noHBand="0" w:noVBand="1"/>
      </w:tblPr>
      <w:tblGrid>
        <w:gridCol w:w="2977"/>
        <w:gridCol w:w="1088"/>
        <w:gridCol w:w="993"/>
        <w:gridCol w:w="992"/>
        <w:gridCol w:w="992"/>
        <w:gridCol w:w="1175"/>
      </w:tblGrid>
      <w:tr w:rsidR="00BD77F7" w:rsidRPr="007A3965" w:rsidTr="00E16638">
        <w:trPr>
          <w:trHeight w:val="397"/>
          <w:jc w:val="center"/>
        </w:trPr>
        <w:tc>
          <w:tcPr>
            <w:tcW w:w="2977" w:type="dxa"/>
            <w:vMerge w:val="restart"/>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Наименование работ</w:t>
            </w:r>
          </w:p>
        </w:tc>
        <w:tc>
          <w:tcPr>
            <w:tcW w:w="5240" w:type="dxa"/>
            <w:gridSpan w:val="5"/>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Предельные нормативы трудоемкости работ по обязательной сертификации конкретной продукции, чел.-</w:t>
            </w:r>
            <w:proofErr w:type="spellStart"/>
            <w:proofErr w:type="gramStart"/>
            <w:r w:rsidRPr="007A3965">
              <w:rPr>
                <w:rFonts w:ascii="Times New Roman" w:hAnsi="Times New Roman" w:cs="Times New Roman"/>
                <w:color w:val="auto"/>
                <w:sz w:val="22"/>
                <w:szCs w:val="22"/>
              </w:rPr>
              <w:t>дн</w:t>
            </w:r>
            <w:proofErr w:type="spellEnd"/>
            <w:r w:rsidRPr="007A3965">
              <w:rPr>
                <w:rFonts w:ascii="Times New Roman" w:hAnsi="Times New Roman" w:cs="Times New Roman"/>
                <w:color w:val="auto"/>
                <w:sz w:val="22"/>
                <w:szCs w:val="22"/>
              </w:rPr>
              <w:t>.,</w:t>
            </w:r>
            <w:proofErr w:type="gramEnd"/>
            <w:r w:rsidRPr="007A3965">
              <w:rPr>
                <w:rFonts w:ascii="Times New Roman" w:hAnsi="Times New Roman" w:cs="Times New Roman"/>
                <w:color w:val="auto"/>
                <w:sz w:val="22"/>
                <w:szCs w:val="22"/>
              </w:rPr>
              <w:t xml:space="preserve"> в зависимости от схемы сертификации продукции</w:t>
            </w:r>
          </w:p>
        </w:tc>
      </w:tr>
      <w:tr w:rsidR="00BD77F7" w:rsidRPr="006860E9" w:rsidTr="00E16638">
        <w:trPr>
          <w:trHeight w:val="170"/>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18"/>
                <w:szCs w:val="18"/>
              </w:rPr>
            </w:pPr>
          </w:p>
        </w:tc>
        <w:tc>
          <w:tcPr>
            <w:tcW w:w="5240" w:type="dxa"/>
            <w:gridSpan w:val="5"/>
            <w:tcBorders>
              <w:bottom w:val="single" w:sz="4" w:space="0" w:color="auto"/>
            </w:tcBorders>
          </w:tcPr>
          <w:p w:rsidR="00BD77F7" w:rsidRPr="00D94857" w:rsidRDefault="00BD77F7" w:rsidP="00E16638">
            <w:pPr>
              <w:pStyle w:val="HEADERTEXT"/>
              <w:jc w:val="both"/>
              <w:rPr>
                <w:rFonts w:ascii="Times New Roman" w:hAnsi="Times New Roman" w:cs="Times New Roman"/>
                <w:b/>
                <w:bCs/>
                <w:color w:val="auto"/>
                <w:sz w:val="18"/>
                <w:szCs w:val="18"/>
              </w:rPr>
            </w:pPr>
            <w:r w:rsidRPr="00D94857">
              <w:rPr>
                <w:rFonts w:ascii="Times New Roman" w:hAnsi="Times New Roman" w:cs="Times New Roman"/>
                <w:b/>
                <w:bCs/>
                <w:color w:val="auto"/>
                <w:sz w:val="18"/>
                <w:szCs w:val="18"/>
              </w:rPr>
              <w:t>Для N 123-ФЗ</w:t>
            </w:r>
            <w:r>
              <w:rPr>
                <w:rFonts w:ascii="Times New Roman" w:hAnsi="Times New Roman" w:cs="Times New Roman"/>
                <w:b/>
                <w:bCs/>
                <w:color w:val="auto"/>
                <w:sz w:val="18"/>
                <w:szCs w:val="18"/>
              </w:rPr>
              <w:t xml:space="preserve">, </w:t>
            </w:r>
            <w:r w:rsidRPr="00982A6C">
              <w:rPr>
                <w:rFonts w:ascii="Times New Roman" w:hAnsi="Times New Roman" w:cs="Times New Roman"/>
                <w:b/>
                <w:bCs/>
                <w:color w:val="auto"/>
                <w:sz w:val="18"/>
                <w:szCs w:val="18"/>
              </w:rPr>
              <w:t>добровольной системы сертификации НСОПБ</w:t>
            </w:r>
          </w:p>
        </w:tc>
      </w:tr>
      <w:tr w:rsidR="00BD77F7" w:rsidRPr="006860E9" w:rsidTr="00E16638">
        <w:trPr>
          <w:trHeight w:val="284"/>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24"/>
                <w:szCs w:val="24"/>
              </w:rPr>
            </w:pPr>
          </w:p>
        </w:tc>
        <w:tc>
          <w:tcPr>
            <w:tcW w:w="1088" w:type="dxa"/>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olor w:val="auto"/>
                <w:sz w:val="22"/>
                <w:szCs w:val="22"/>
              </w:rPr>
              <w:t>2с</w:t>
            </w:r>
          </w:p>
        </w:tc>
        <w:tc>
          <w:tcPr>
            <w:tcW w:w="993" w:type="dxa"/>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olor w:val="auto"/>
                <w:sz w:val="22"/>
                <w:szCs w:val="22"/>
              </w:rPr>
              <w:t>3с</w:t>
            </w:r>
          </w:p>
        </w:tc>
        <w:tc>
          <w:tcPr>
            <w:tcW w:w="992" w:type="dxa"/>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olor w:val="auto"/>
                <w:sz w:val="22"/>
                <w:szCs w:val="22"/>
              </w:rPr>
              <w:t>4с</w:t>
            </w:r>
          </w:p>
        </w:tc>
        <w:tc>
          <w:tcPr>
            <w:tcW w:w="992" w:type="dxa"/>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olor w:val="auto"/>
                <w:sz w:val="22"/>
                <w:szCs w:val="22"/>
              </w:rPr>
              <w:t>6с</w:t>
            </w:r>
          </w:p>
        </w:tc>
        <w:tc>
          <w:tcPr>
            <w:tcW w:w="1175" w:type="dxa"/>
            <w:tcBorders>
              <w:bottom w:val="single" w:sz="4" w:space="0" w:color="auto"/>
            </w:tcBorders>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olor w:val="auto"/>
                <w:sz w:val="22"/>
                <w:szCs w:val="22"/>
              </w:rPr>
              <w:t>7с</w:t>
            </w:r>
          </w:p>
        </w:tc>
      </w:tr>
      <w:tr w:rsidR="00BD77F7" w:rsidRPr="006860E9" w:rsidTr="00E16638">
        <w:trPr>
          <w:trHeight w:val="170"/>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18"/>
                <w:szCs w:val="18"/>
              </w:rPr>
            </w:pPr>
          </w:p>
        </w:tc>
        <w:tc>
          <w:tcPr>
            <w:tcW w:w="5240" w:type="dxa"/>
            <w:gridSpan w:val="5"/>
            <w:tcBorders>
              <w:top w:val="single" w:sz="4" w:space="0" w:color="auto"/>
            </w:tcBorders>
          </w:tcPr>
          <w:p w:rsidR="00BD77F7" w:rsidRPr="00D94857" w:rsidRDefault="00BD77F7" w:rsidP="00E16638">
            <w:pPr>
              <w:pStyle w:val="HEADERTEXT"/>
              <w:jc w:val="both"/>
              <w:rPr>
                <w:rFonts w:ascii="Times New Roman" w:hAnsi="Times New Roman" w:cs="Times New Roman"/>
                <w:b/>
                <w:bCs/>
                <w:color w:val="auto"/>
                <w:sz w:val="18"/>
                <w:szCs w:val="18"/>
              </w:rPr>
            </w:pPr>
            <w:r w:rsidRPr="00D94857">
              <w:rPr>
                <w:rFonts w:ascii="Times New Roman" w:hAnsi="Times New Roman" w:cs="Times New Roman"/>
                <w:b/>
                <w:bCs/>
                <w:color w:val="auto"/>
                <w:sz w:val="18"/>
                <w:szCs w:val="18"/>
              </w:rPr>
              <w:t>Для ТР ЕАЭС 043/2017</w:t>
            </w:r>
          </w:p>
        </w:tc>
      </w:tr>
      <w:tr w:rsidR="00BD77F7" w:rsidRPr="006860E9" w:rsidTr="00E16638">
        <w:trPr>
          <w:trHeight w:val="284"/>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24"/>
                <w:szCs w:val="24"/>
              </w:rPr>
            </w:pPr>
          </w:p>
        </w:tc>
        <w:tc>
          <w:tcPr>
            <w:tcW w:w="1088"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w:t>
            </w:r>
          </w:p>
        </w:tc>
        <w:tc>
          <w:tcPr>
            <w:tcW w:w="993"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w:t>
            </w:r>
          </w:p>
        </w:tc>
        <w:tc>
          <w:tcPr>
            <w:tcW w:w="992"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1с</w:t>
            </w:r>
          </w:p>
        </w:tc>
        <w:tc>
          <w:tcPr>
            <w:tcW w:w="992"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3с</w:t>
            </w:r>
          </w:p>
        </w:tc>
        <w:tc>
          <w:tcPr>
            <w:tcW w:w="1175"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4с</w:t>
            </w:r>
          </w:p>
        </w:tc>
      </w:tr>
      <w:tr w:rsidR="00BD77F7" w:rsidRPr="006860E9" w:rsidTr="00E16638">
        <w:trPr>
          <w:trHeight w:val="284"/>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24"/>
                <w:szCs w:val="24"/>
              </w:rPr>
            </w:pPr>
          </w:p>
        </w:tc>
        <w:tc>
          <w:tcPr>
            <w:tcW w:w="5240" w:type="dxa"/>
            <w:gridSpan w:val="5"/>
          </w:tcPr>
          <w:p w:rsidR="00BD77F7" w:rsidRPr="00D94857" w:rsidRDefault="00BD77F7" w:rsidP="00E16638">
            <w:pPr>
              <w:pStyle w:val="HEADERTEXT"/>
              <w:rPr>
                <w:rFonts w:ascii="Times New Roman" w:hAnsi="Times New Roman" w:cs="Times New Roman"/>
                <w:b/>
                <w:color w:val="auto"/>
                <w:sz w:val="18"/>
                <w:szCs w:val="18"/>
              </w:rPr>
            </w:pPr>
            <w:r w:rsidRPr="00D94857">
              <w:rPr>
                <w:rFonts w:ascii="Times New Roman" w:hAnsi="Times New Roman" w:cs="Times New Roman"/>
                <w:b/>
                <w:color w:val="auto"/>
                <w:sz w:val="18"/>
                <w:szCs w:val="18"/>
              </w:rPr>
              <w:t>Для ТР ТС 004/2011, ТР ТС 020/2011</w:t>
            </w:r>
          </w:p>
        </w:tc>
      </w:tr>
      <w:tr w:rsidR="00BD77F7" w:rsidRPr="006860E9" w:rsidTr="00E16638">
        <w:trPr>
          <w:trHeight w:val="284"/>
          <w:jc w:val="center"/>
        </w:trPr>
        <w:tc>
          <w:tcPr>
            <w:tcW w:w="2977" w:type="dxa"/>
            <w:vMerge/>
          </w:tcPr>
          <w:p w:rsidR="00BD77F7" w:rsidRPr="006860E9" w:rsidRDefault="00BD77F7" w:rsidP="00E16638">
            <w:pPr>
              <w:pStyle w:val="HEADERTEXT"/>
              <w:jc w:val="center"/>
              <w:rPr>
                <w:rFonts w:ascii="Times New Roman" w:hAnsi="Times New Roman" w:cs="Times New Roman"/>
                <w:color w:val="FF0000"/>
                <w:sz w:val="24"/>
                <w:szCs w:val="24"/>
              </w:rPr>
            </w:pPr>
          </w:p>
        </w:tc>
        <w:tc>
          <w:tcPr>
            <w:tcW w:w="1088"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w:t>
            </w:r>
          </w:p>
        </w:tc>
        <w:tc>
          <w:tcPr>
            <w:tcW w:w="993"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w:t>
            </w:r>
          </w:p>
        </w:tc>
        <w:tc>
          <w:tcPr>
            <w:tcW w:w="992"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1с</w:t>
            </w:r>
          </w:p>
        </w:tc>
        <w:tc>
          <w:tcPr>
            <w:tcW w:w="992"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3с</w:t>
            </w:r>
          </w:p>
        </w:tc>
        <w:tc>
          <w:tcPr>
            <w:tcW w:w="1175" w:type="dxa"/>
          </w:tcPr>
          <w:p w:rsidR="00BD77F7" w:rsidRPr="0044099E" w:rsidRDefault="00BD77F7" w:rsidP="00E16638">
            <w:pPr>
              <w:pStyle w:val="HEADERTEXT"/>
              <w:jc w:val="center"/>
              <w:rPr>
                <w:rFonts w:ascii="Times New Roman" w:hAnsi="Times New Roman" w:cs="Times New Roman"/>
                <w:color w:val="auto"/>
                <w:sz w:val="22"/>
                <w:szCs w:val="22"/>
              </w:rPr>
            </w:pPr>
            <w:r w:rsidRPr="0044099E">
              <w:rPr>
                <w:rFonts w:ascii="Times New Roman" w:hAnsi="Times New Roman" w:cs="Times New Roman"/>
                <w:color w:val="auto"/>
                <w:sz w:val="22"/>
                <w:szCs w:val="22"/>
              </w:rPr>
              <w:t>4с</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1. Принятие решения по заявке на сертификацию</w:t>
            </w:r>
          </w:p>
        </w:tc>
        <w:tc>
          <w:tcPr>
            <w:tcW w:w="5240" w:type="dxa"/>
            <w:gridSpan w:val="5"/>
          </w:tcPr>
          <w:p w:rsidR="00BD77F7" w:rsidRPr="007A3965" w:rsidRDefault="00BD77F7" w:rsidP="00E16638">
            <w:pPr>
              <w:pStyle w:val="HEADERTEXT"/>
              <w:jc w:val="center"/>
              <w:rPr>
                <w:rFonts w:ascii="Times New Roman" w:hAnsi="Times New Roman" w:cs="Times New Roman"/>
                <w:strike/>
                <w:color w:val="FF0000"/>
                <w:sz w:val="22"/>
                <w:szCs w:val="22"/>
              </w:rPr>
            </w:pP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1.1 Прием, входной контроль и регистрация заявки</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1.2 Рассмотрение документов, приложенных к заявке</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1.3 Выбор схемы и программы сертификации</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0,5</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1.4 Подготовка решения по заявке</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 Выполнение процедур сертификации</w:t>
            </w:r>
          </w:p>
        </w:tc>
        <w:tc>
          <w:tcPr>
            <w:tcW w:w="5240" w:type="dxa"/>
            <w:gridSpan w:val="5"/>
          </w:tcPr>
          <w:p w:rsidR="00BD77F7" w:rsidRPr="007A3965" w:rsidRDefault="00BD77F7" w:rsidP="00E16638">
            <w:pPr>
              <w:pStyle w:val="HEADERTEXT"/>
              <w:jc w:val="center"/>
              <w:rPr>
                <w:rFonts w:ascii="Times New Roman" w:hAnsi="Times New Roman" w:cs="Times New Roman"/>
                <w:strike/>
                <w:color w:val="auto"/>
                <w:sz w:val="22"/>
                <w:szCs w:val="22"/>
              </w:rPr>
            </w:pP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2.1 Отбор и идентификация образцов для проведения сертификационных испытаний</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2.2 Анализ протоколов испытаний</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2.3 Проверка производства сертифицируемой продукции</w:t>
            </w:r>
          </w:p>
        </w:tc>
        <w:tc>
          <w:tcPr>
            <w:tcW w:w="5240" w:type="dxa"/>
            <w:gridSpan w:val="5"/>
          </w:tcPr>
          <w:p w:rsidR="00BD77F7" w:rsidRPr="007A3965" w:rsidRDefault="00BD77F7" w:rsidP="00E16638">
            <w:pPr>
              <w:pStyle w:val="HEADERTEXT"/>
              <w:jc w:val="center"/>
              <w:rPr>
                <w:rFonts w:ascii="Times New Roman" w:hAnsi="Times New Roman" w:cs="Times New Roman"/>
                <w:strike/>
                <w:color w:val="FF0000"/>
                <w:sz w:val="22"/>
                <w:szCs w:val="22"/>
              </w:rPr>
            </w:pP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2.3.1 Анализ состояния производства</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2.4 Оценка соответствия продукции установленным требованиям и подготовка решения о возможности выдачи сертификата соответствия</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1,0</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3. Инспекционный контроль за сертифицированной продукцией</w:t>
            </w:r>
          </w:p>
        </w:tc>
        <w:tc>
          <w:tcPr>
            <w:tcW w:w="5240" w:type="dxa"/>
            <w:gridSpan w:val="5"/>
          </w:tcPr>
          <w:p w:rsidR="00BD77F7" w:rsidRPr="007A3965" w:rsidRDefault="00BD77F7" w:rsidP="00E16638">
            <w:pPr>
              <w:pStyle w:val="HEADERTEXT"/>
              <w:jc w:val="center"/>
              <w:rPr>
                <w:rFonts w:ascii="Times New Roman" w:hAnsi="Times New Roman" w:cs="Times New Roman"/>
                <w:strike/>
                <w:color w:val="auto"/>
                <w:sz w:val="22"/>
                <w:szCs w:val="22"/>
              </w:rPr>
            </w:pP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3.1 Выбор программы инспекционного контроля</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 xml:space="preserve">3.2 Анализ состояния производства при инспекционном контроле за </w:t>
            </w:r>
            <w:r w:rsidRPr="007A3965">
              <w:rPr>
                <w:rFonts w:ascii="Times New Roman" w:hAnsi="Times New Roman" w:cs="Times New Roman"/>
                <w:color w:val="auto"/>
                <w:sz w:val="22"/>
                <w:szCs w:val="22"/>
              </w:rPr>
              <w:lastRenderedPageBreak/>
              <w:t>сертифицированной продукцией</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lastRenderedPageBreak/>
              <w:t>-</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3,0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3.3 Разработка перечня корректирующих воздействий и сроков их реализации</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1,5</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r>
      <w:tr w:rsidR="00BD77F7" w:rsidRPr="006860E9" w:rsidTr="00E16638">
        <w:trPr>
          <w:trHeight w:val="397"/>
          <w:jc w:val="center"/>
        </w:trPr>
        <w:tc>
          <w:tcPr>
            <w:tcW w:w="2977" w:type="dxa"/>
          </w:tcPr>
          <w:p w:rsidR="00BD77F7" w:rsidRPr="007A3965" w:rsidRDefault="00BD77F7" w:rsidP="00E16638">
            <w:pPr>
              <w:pStyle w:val="HEADERTEXT"/>
              <w:rPr>
                <w:rFonts w:ascii="Times New Roman" w:hAnsi="Times New Roman" w:cs="Times New Roman"/>
                <w:color w:val="auto"/>
                <w:sz w:val="22"/>
                <w:szCs w:val="22"/>
              </w:rPr>
            </w:pPr>
            <w:r w:rsidRPr="007A3965">
              <w:rPr>
                <w:rFonts w:ascii="Times New Roman" w:hAnsi="Times New Roman" w:cs="Times New Roman"/>
                <w:color w:val="auto"/>
                <w:sz w:val="22"/>
                <w:szCs w:val="22"/>
              </w:rPr>
              <w:t>3.4 Контроль за реализацией корректирующих мероприятий</w:t>
            </w:r>
          </w:p>
        </w:tc>
        <w:tc>
          <w:tcPr>
            <w:tcW w:w="1088"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993"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2,0</w:t>
            </w:r>
          </w:p>
        </w:tc>
        <w:tc>
          <w:tcPr>
            <w:tcW w:w="992"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c>
          <w:tcPr>
            <w:tcW w:w="1175" w:type="dxa"/>
          </w:tcPr>
          <w:p w:rsidR="00BD77F7" w:rsidRPr="007A3965" w:rsidRDefault="00BD77F7" w:rsidP="00E16638">
            <w:pPr>
              <w:pStyle w:val="HEADERTEXT"/>
              <w:jc w:val="center"/>
              <w:rPr>
                <w:rFonts w:ascii="Times New Roman" w:hAnsi="Times New Roman" w:cs="Times New Roman"/>
                <w:color w:val="auto"/>
                <w:sz w:val="22"/>
                <w:szCs w:val="22"/>
              </w:rPr>
            </w:pPr>
            <w:r w:rsidRPr="007A3965">
              <w:rPr>
                <w:rFonts w:ascii="Times New Roman" w:hAnsi="Times New Roman" w:cs="Times New Roman"/>
                <w:color w:val="auto"/>
                <w:sz w:val="22"/>
                <w:szCs w:val="22"/>
              </w:rPr>
              <w:t>-</w:t>
            </w:r>
          </w:p>
        </w:tc>
      </w:tr>
    </w:tbl>
    <w:p w:rsidR="00BD77F7" w:rsidRPr="006860E9" w:rsidRDefault="00BD77F7" w:rsidP="00BD77F7">
      <w:pPr>
        <w:pStyle w:val="a7"/>
        <w:jc w:val="both"/>
        <w:rPr>
          <w:color w:val="FF0000"/>
        </w:rPr>
      </w:pPr>
    </w:p>
    <w:p w:rsidR="00BD77F7" w:rsidRPr="00E35617" w:rsidRDefault="00BD77F7" w:rsidP="00BD77F7">
      <w:pPr>
        <w:spacing w:after="200"/>
        <w:jc w:val="right"/>
        <w:rPr>
          <w:bCs/>
        </w:rPr>
      </w:pPr>
      <w:r w:rsidRPr="00E35617">
        <w:rPr>
          <w:bCs/>
        </w:rPr>
        <w:t>Приложение 2</w:t>
      </w:r>
    </w:p>
    <w:p w:rsidR="00BD77F7" w:rsidRPr="00E35617" w:rsidRDefault="00BD77F7" w:rsidP="00BD77F7">
      <w:pPr>
        <w:spacing w:after="200"/>
        <w:jc w:val="center"/>
        <w:rPr>
          <w:b/>
          <w:bCs/>
        </w:rPr>
      </w:pPr>
      <w:r w:rsidRPr="00E35617">
        <w:rPr>
          <w:b/>
          <w:bCs/>
        </w:rPr>
        <w:t xml:space="preserve">Таблица 2.1 </w:t>
      </w:r>
      <w:r w:rsidRPr="00E35617">
        <w:rPr>
          <w:b/>
          <w:bCs/>
        </w:rPr>
        <w:br/>
        <w:t>Нормативы трудоемкости работ органа по сертификации продукции, проводимых при анализе производства продукции</w:t>
      </w:r>
      <w:r w:rsidRPr="00E35617">
        <w:rPr>
          <w:b/>
          <w:bCs/>
          <w:vertAlign w:val="superscript"/>
        </w:rPr>
        <w:t>*</w:t>
      </w:r>
    </w:p>
    <w:tbl>
      <w:tblPr>
        <w:tblStyle w:val="a6"/>
        <w:tblW w:w="9786" w:type="dxa"/>
        <w:jc w:val="center"/>
        <w:tblLayout w:type="fixed"/>
        <w:tblLook w:val="04A0" w:firstRow="1" w:lastRow="0" w:firstColumn="1" w:lastColumn="0" w:noHBand="0" w:noVBand="1"/>
      </w:tblPr>
      <w:tblGrid>
        <w:gridCol w:w="2977"/>
        <w:gridCol w:w="2269"/>
        <w:gridCol w:w="2270"/>
        <w:gridCol w:w="2270"/>
      </w:tblGrid>
      <w:tr w:rsidR="00BD77F7" w:rsidRPr="00E35617" w:rsidTr="00E16638">
        <w:trPr>
          <w:trHeight w:val="397"/>
          <w:jc w:val="center"/>
        </w:trPr>
        <w:tc>
          <w:tcPr>
            <w:tcW w:w="2977" w:type="dxa"/>
            <w:vMerge w:val="restart"/>
            <w:tcBorders>
              <w:bottom w:val="single" w:sz="4" w:space="0" w:color="auto"/>
            </w:tcBorders>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Группа сложности производства</w:t>
            </w:r>
            <w:r w:rsidRPr="00E35617">
              <w:rPr>
                <w:rFonts w:ascii="Times New Roman" w:hAnsi="Times New Roman" w:cs="Times New Roman"/>
                <w:color w:val="auto"/>
                <w:sz w:val="22"/>
                <w:szCs w:val="22"/>
                <w:vertAlign w:val="superscript"/>
              </w:rPr>
              <w:t>**</w:t>
            </w:r>
          </w:p>
        </w:tc>
        <w:tc>
          <w:tcPr>
            <w:tcW w:w="6809" w:type="dxa"/>
            <w:gridSpan w:val="3"/>
            <w:tcBorders>
              <w:bottom w:val="single" w:sz="4" w:space="0" w:color="auto"/>
            </w:tcBorders>
          </w:tcPr>
          <w:p w:rsidR="00BD77F7" w:rsidRPr="00E35617" w:rsidRDefault="00BD77F7" w:rsidP="00E16638">
            <w:pPr>
              <w:pStyle w:val="a8"/>
              <w:jc w:val="center"/>
              <w:rPr>
                <w:rFonts w:ascii="Times New Roman" w:hAnsi="Times New Roman" w:cs="Times New Roman"/>
                <w:sz w:val="22"/>
                <w:szCs w:val="22"/>
              </w:rPr>
            </w:pPr>
            <w:r w:rsidRPr="00E35617">
              <w:rPr>
                <w:rFonts w:ascii="Times New Roman" w:hAnsi="Times New Roman" w:cs="Times New Roman"/>
                <w:sz w:val="22"/>
                <w:szCs w:val="22"/>
              </w:rPr>
              <w:t>Предельные нормативы трудоемкости, (чел.-</w:t>
            </w:r>
            <w:proofErr w:type="spellStart"/>
            <w:r w:rsidRPr="00E35617">
              <w:rPr>
                <w:rFonts w:ascii="Times New Roman" w:hAnsi="Times New Roman" w:cs="Times New Roman"/>
                <w:sz w:val="22"/>
                <w:szCs w:val="22"/>
              </w:rPr>
              <w:t>дн</w:t>
            </w:r>
            <w:proofErr w:type="spellEnd"/>
            <w:r w:rsidRPr="00E35617">
              <w:rPr>
                <w:rFonts w:ascii="Times New Roman" w:hAnsi="Times New Roman" w:cs="Times New Roman"/>
                <w:sz w:val="22"/>
                <w:szCs w:val="22"/>
              </w:rPr>
              <w:t>.)</w:t>
            </w:r>
          </w:p>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в зависимости от группы сложности продукции</w:t>
            </w:r>
            <w:r w:rsidRPr="00E35617">
              <w:rPr>
                <w:rFonts w:ascii="Times New Roman" w:hAnsi="Times New Roman" w:cs="Times New Roman"/>
                <w:color w:val="auto"/>
                <w:sz w:val="22"/>
                <w:szCs w:val="22"/>
                <w:vertAlign w:val="superscript"/>
              </w:rPr>
              <w:t>***</w:t>
            </w:r>
          </w:p>
        </w:tc>
      </w:tr>
      <w:tr w:rsidR="00BD77F7" w:rsidRPr="00E35617" w:rsidTr="00E16638">
        <w:trPr>
          <w:trHeight w:val="340"/>
          <w:jc w:val="center"/>
        </w:trPr>
        <w:tc>
          <w:tcPr>
            <w:tcW w:w="2977"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w:t>
            </w:r>
          </w:p>
        </w:tc>
        <w:tc>
          <w:tcPr>
            <w:tcW w:w="2269"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6,0</w:t>
            </w:r>
          </w:p>
        </w:tc>
        <w:tc>
          <w:tcPr>
            <w:tcW w:w="2270"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6,0</w:t>
            </w:r>
          </w:p>
        </w:tc>
        <w:tc>
          <w:tcPr>
            <w:tcW w:w="2270"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6,0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7,0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7,0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7,0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8,0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8,0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8,0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4</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10,0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10,0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10,0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5</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13,0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15,0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18,0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6</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15,0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20,0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25,0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7</w:t>
            </w:r>
          </w:p>
        </w:tc>
        <w:tc>
          <w:tcPr>
            <w:tcW w:w="226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20,0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25,0</w:t>
            </w:r>
          </w:p>
        </w:tc>
        <w:tc>
          <w:tcPr>
            <w:tcW w:w="2270"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30,0</w:t>
            </w:r>
          </w:p>
        </w:tc>
      </w:tr>
      <w:tr w:rsidR="00BD77F7" w:rsidRPr="00E35617" w:rsidTr="00E16638">
        <w:trPr>
          <w:trHeight w:val="340"/>
          <w:jc w:val="center"/>
        </w:trPr>
        <w:tc>
          <w:tcPr>
            <w:tcW w:w="2977"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8</w:t>
            </w:r>
          </w:p>
        </w:tc>
        <w:tc>
          <w:tcPr>
            <w:tcW w:w="2269"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25,0</w:t>
            </w:r>
          </w:p>
        </w:tc>
        <w:tc>
          <w:tcPr>
            <w:tcW w:w="2270"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30,0</w:t>
            </w:r>
          </w:p>
        </w:tc>
        <w:tc>
          <w:tcPr>
            <w:tcW w:w="2270"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35,0</w:t>
            </w:r>
          </w:p>
        </w:tc>
      </w:tr>
    </w:tbl>
    <w:p w:rsidR="00BD77F7" w:rsidRPr="00E35617" w:rsidRDefault="00BD77F7" w:rsidP="00BD77F7">
      <w:pPr>
        <w:pStyle w:val="a7"/>
        <w:ind w:firstLine="680"/>
        <w:jc w:val="both"/>
        <w:rPr>
          <w:iCs/>
        </w:rPr>
      </w:pPr>
      <w:r w:rsidRPr="00E35617">
        <w:rPr>
          <w:iCs/>
          <w:vertAlign w:val="superscript"/>
        </w:rPr>
        <w:t>*</w:t>
      </w:r>
      <w:r w:rsidRPr="00E35617">
        <w:rPr>
          <w:iCs/>
        </w:rPr>
        <w:t>Суммарная оценка трудоемкости таблицы 1.1 приложения 1;</w:t>
      </w:r>
    </w:p>
    <w:p w:rsidR="00BD77F7" w:rsidRPr="00E35617" w:rsidRDefault="00BD77F7" w:rsidP="00BD77F7">
      <w:pPr>
        <w:pStyle w:val="a7"/>
        <w:ind w:firstLine="680"/>
        <w:jc w:val="both"/>
        <w:rPr>
          <w:iCs/>
        </w:rPr>
      </w:pPr>
      <w:r w:rsidRPr="00E35617">
        <w:rPr>
          <w:iCs/>
          <w:vertAlign w:val="superscript"/>
        </w:rPr>
        <w:t>**</w:t>
      </w:r>
      <w:r w:rsidRPr="00E35617">
        <w:rPr>
          <w:iCs/>
        </w:rPr>
        <w:t>В соответствии с таблицей 2.2;</w:t>
      </w:r>
    </w:p>
    <w:p w:rsidR="00BD77F7" w:rsidRPr="00E35617" w:rsidRDefault="00BD77F7" w:rsidP="00BD77F7">
      <w:pPr>
        <w:pStyle w:val="a7"/>
        <w:ind w:firstLine="680"/>
        <w:jc w:val="both"/>
        <w:rPr>
          <w:iCs/>
        </w:rPr>
      </w:pPr>
      <w:r w:rsidRPr="00E35617">
        <w:rPr>
          <w:iCs/>
          <w:vertAlign w:val="superscript"/>
        </w:rPr>
        <w:t>***</w:t>
      </w:r>
      <w:r w:rsidRPr="00E35617">
        <w:rPr>
          <w:iCs/>
        </w:rPr>
        <w:t>В соответствии с таблицей 2.3.</w:t>
      </w:r>
    </w:p>
    <w:p w:rsidR="00BD77F7" w:rsidRPr="00E35617" w:rsidRDefault="00BD77F7" w:rsidP="00BD77F7">
      <w:pPr>
        <w:pStyle w:val="a7"/>
        <w:jc w:val="both"/>
        <w:rPr>
          <w:iCs/>
        </w:rPr>
      </w:pPr>
    </w:p>
    <w:p w:rsidR="00BD77F7" w:rsidRPr="00E35617" w:rsidRDefault="00BD77F7" w:rsidP="00BD77F7">
      <w:pPr>
        <w:spacing w:after="200"/>
        <w:jc w:val="center"/>
        <w:rPr>
          <w:b/>
          <w:bCs/>
        </w:rPr>
      </w:pPr>
      <w:r w:rsidRPr="00E35617">
        <w:rPr>
          <w:b/>
          <w:bCs/>
        </w:rPr>
        <w:t xml:space="preserve">Таблица 2.2 </w:t>
      </w:r>
      <w:r w:rsidRPr="00E35617">
        <w:rPr>
          <w:b/>
          <w:bCs/>
        </w:rPr>
        <w:br/>
        <w:t>Группы сложности производства</w:t>
      </w:r>
    </w:p>
    <w:tbl>
      <w:tblPr>
        <w:tblStyle w:val="a6"/>
        <w:tblW w:w="9786" w:type="dxa"/>
        <w:jc w:val="center"/>
        <w:tblLayout w:type="fixed"/>
        <w:tblLook w:val="04A0" w:firstRow="1" w:lastRow="0" w:firstColumn="1" w:lastColumn="0" w:noHBand="0" w:noVBand="1"/>
      </w:tblPr>
      <w:tblGrid>
        <w:gridCol w:w="2977"/>
        <w:gridCol w:w="6809"/>
      </w:tblGrid>
      <w:tr w:rsidR="00BD77F7" w:rsidRPr="00E35617" w:rsidTr="00E16638">
        <w:trPr>
          <w:trHeight w:val="397"/>
          <w:jc w:val="center"/>
        </w:trPr>
        <w:tc>
          <w:tcPr>
            <w:tcW w:w="2977" w:type="dxa"/>
            <w:vMerge w:val="restart"/>
            <w:tcBorders>
              <w:bottom w:val="single" w:sz="4" w:space="0" w:color="auto"/>
            </w:tcBorders>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Группа сложности производства</w:t>
            </w:r>
          </w:p>
        </w:tc>
        <w:tc>
          <w:tcPr>
            <w:tcW w:w="6809" w:type="dxa"/>
            <w:tcBorders>
              <w:bottom w:val="single" w:sz="4" w:space="0" w:color="auto"/>
            </w:tcBorders>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Среднее число технологических операций при изготовлении продукции</w:t>
            </w:r>
          </w:p>
        </w:tc>
      </w:tr>
      <w:tr w:rsidR="00BD77F7" w:rsidRPr="00E35617" w:rsidTr="00E16638">
        <w:trPr>
          <w:trHeight w:val="340"/>
          <w:jc w:val="center"/>
        </w:trPr>
        <w:tc>
          <w:tcPr>
            <w:tcW w:w="2977"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w:t>
            </w:r>
          </w:p>
        </w:tc>
        <w:tc>
          <w:tcPr>
            <w:tcW w:w="6809" w:type="dxa"/>
            <w:tcBorders>
              <w:top w:val="single" w:sz="4" w:space="0" w:color="auto"/>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1 до 3</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4 до 10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11 до 20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4</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21 до 50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5</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51 до 200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6</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201 до 2000</w:t>
            </w:r>
          </w:p>
        </w:tc>
      </w:tr>
      <w:tr w:rsidR="00BD77F7" w:rsidRPr="00E35617" w:rsidTr="00E16638">
        <w:trPr>
          <w:trHeight w:val="340"/>
          <w:jc w:val="center"/>
        </w:trPr>
        <w:tc>
          <w:tcPr>
            <w:tcW w:w="2977"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7</w:t>
            </w:r>
          </w:p>
        </w:tc>
        <w:tc>
          <w:tcPr>
            <w:tcW w:w="6809" w:type="dxa"/>
            <w:tcBorders>
              <w:top w:val="nil"/>
              <w:left w:val="single" w:sz="4" w:space="0" w:color="auto"/>
              <w:bottom w:val="nil"/>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от 2001 до 5000</w:t>
            </w:r>
          </w:p>
        </w:tc>
      </w:tr>
      <w:tr w:rsidR="00BD77F7" w:rsidRPr="00E35617" w:rsidTr="00E16638">
        <w:trPr>
          <w:trHeight w:val="340"/>
          <w:jc w:val="center"/>
        </w:trPr>
        <w:tc>
          <w:tcPr>
            <w:tcW w:w="2977"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8</w:t>
            </w:r>
          </w:p>
        </w:tc>
        <w:tc>
          <w:tcPr>
            <w:tcW w:w="6809" w:type="dxa"/>
            <w:tcBorders>
              <w:top w:val="nil"/>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свыше 5000</w:t>
            </w:r>
          </w:p>
        </w:tc>
      </w:tr>
    </w:tbl>
    <w:p w:rsidR="00BD77F7" w:rsidRPr="00E35617" w:rsidRDefault="00BD77F7" w:rsidP="00BD77F7">
      <w:pPr>
        <w:pStyle w:val="a7"/>
        <w:jc w:val="both"/>
        <w:rPr>
          <w:iCs/>
          <w:vertAlign w:val="superscript"/>
        </w:rPr>
      </w:pPr>
    </w:p>
    <w:p w:rsidR="00BD77F7" w:rsidRPr="00E35617" w:rsidRDefault="00BD77F7" w:rsidP="00BD77F7">
      <w:pPr>
        <w:spacing w:after="200"/>
        <w:rPr>
          <w:iCs/>
          <w:vertAlign w:val="superscript"/>
        </w:rPr>
      </w:pPr>
      <w:r w:rsidRPr="00E35617">
        <w:rPr>
          <w:iCs/>
          <w:vertAlign w:val="superscript"/>
        </w:rPr>
        <w:br w:type="page"/>
      </w:r>
    </w:p>
    <w:p w:rsidR="00BD77F7" w:rsidRPr="00E35617" w:rsidRDefault="00BD77F7" w:rsidP="00BD77F7">
      <w:pPr>
        <w:spacing w:after="200"/>
        <w:jc w:val="center"/>
        <w:rPr>
          <w:b/>
          <w:bCs/>
        </w:rPr>
      </w:pPr>
      <w:r w:rsidRPr="00E35617">
        <w:rPr>
          <w:b/>
          <w:bCs/>
        </w:rPr>
        <w:lastRenderedPageBreak/>
        <w:t xml:space="preserve">Таблица 2.3 </w:t>
      </w:r>
      <w:r w:rsidRPr="00E35617">
        <w:rPr>
          <w:b/>
          <w:bCs/>
        </w:rPr>
        <w:br/>
        <w:t>Группы сложности продукции</w:t>
      </w:r>
    </w:p>
    <w:tbl>
      <w:tblPr>
        <w:tblStyle w:val="a6"/>
        <w:tblW w:w="9786" w:type="dxa"/>
        <w:jc w:val="center"/>
        <w:tblLayout w:type="fixed"/>
        <w:tblLook w:val="04A0" w:firstRow="1" w:lastRow="0" w:firstColumn="1" w:lastColumn="0" w:noHBand="0" w:noVBand="1"/>
      </w:tblPr>
      <w:tblGrid>
        <w:gridCol w:w="2977"/>
        <w:gridCol w:w="6809"/>
      </w:tblGrid>
      <w:tr w:rsidR="00BD77F7" w:rsidRPr="00E35617" w:rsidTr="00E16638">
        <w:trPr>
          <w:trHeight w:val="397"/>
          <w:jc w:val="center"/>
        </w:trPr>
        <w:tc>
          <w:tcPr>
            <w:tcW w:w="2977" w:type="dxa"/>
            <w:vMerge w:val="restart"/>
            <w:tcBorders>
              <w:bottom w:val="single" w:sz="4" w:space="0" w:color="auto"/>
            </w:tcBorders>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Группа сложности продукции</w:t>
            </w:r>
          </w:p>
        </w:tc>
        <w:tc>
          <w:tcPr>
            <w:tcW w:w="6809" w:type="dxa"/>
            <w:tcBorders>
              <w:bottom w:val="single" w:sz="4" w:space="0" w:color="auto"/>
            </w:tcBorders>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Виды продукции</w:t>
            </w:r>
          </w:p>
        </w:tc>
      </w:tr>
      <w:tr w:rsidR="00BD77F7" w:rsidRPr="00E35617" w:rsidTr="00E16638">
        <w:trPr>
          <w:trHeight w:val="284"/>
          <w:jc w:val="center"/>
        </w:trPr>
        <w:tc>
          <w:tcPr>
            <w:tcW w:w="2977"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w:t>
            </w:r>
          </w:p>
        </w:tc>
        <w:tc>
          <w:tcPr>
            <w:tcW w:w="6809"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w:t>
            </w:r>
          </w:p>
        </w:tc>
      </w:tr>
      <w:tr w:rsidR="00BD77F7" w:rsidRPr="00E35617" w:rsidTr="00E16638">
        <w:trPr>
          <w:trHeight w:val="851"/>
          <w:jc w:val="center"/>
        </w:trPr>
        <w:tc>
          <w:tcPr>
            <w:tcW w:w="2977"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1</w:t>
            </w:r>
          </w:p>
        </w:tc>
        <w:tc>
          <w:tcPr>
            <w:tcW w:w="6809"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FORMATTEXT"/>
              <w:jc w:val="center"/>
              <w:rPr>
                <w:rFonts w:ascii="Times New Roman" w:hAnsi="Times New Roman" w:cs="Times New Roman"/>
                <w:sz w:val="22"/>
                <w:szCs w:val="22"/>
              </w:rPr>
            </w:pPr>
            <w:r w:rsidRPr="00E35617">
              <w:rPr>
                <w:rStyle w:val="3"/>
                <w:rFonts w:eastAsia="Times New Roman" w:cs="Times New Roman"/>
                <w:sz w:val="22"/>
                <w:szCs w:val="22"/>
              </w:rPr>
              <w:t>Текстильные и кожевенные материалы</w:t>
            </w:r>
          </w:p>
          <w:p w:rsidR="00BD77F7" w:rsidRPr="00E35617" w:rsidRDefault="00BD77F7" w:rsidP="00E16638">
            <w:pPr>
              <w:pStyle w:val="FORMATTEXT"/>
              <w:jc w:val="center"/>
              <w:rPr>
                <w:rFonts w:ascii="Times New Roman" w:hAnsi="Times New Roman" w:cs="Times New Roman"/>
                <w:sz w:val="22"/>
                <w:szCs w:val="22"/>
              </w:rPr>
            </w:pPr>
            <w:r w:rsidRPr="00E35617">
              <w:rPr>
                <w:rStyle w:val="3"/>
                <w:rFonts w:eastAsia="Times New Roman" w:cs="Times New Roman"/>
                <w:sz w:val="22"/>
                <w:szCs w:val="22"/>
              </w:rPr>
              <w:t>Строительные и отделочные материалы</w:t>
            </w:r>
          </w:p>
        </w:tc>
      </w:tr>
      <w:tr w:rsidR="00BD77F7" w:rsidRPr="00E35617" w:rsidTr="00E16638">
        <w:trPr>
          <w:trHeight w:val="851"/>
          <w:jc w:val="center"/>
        </w:trPr>
        <w:tc>
          <w:tcPr>
            <w:tcW w:w="2977"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2</w:t>
            </w:r>
          </w:p>
        </w:tc>
        <w:tc>
          <w:tcPr>
            <w:tcW w:w="6809"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a8"/>
              <w:jc w:val="center"/>
              <w:rPr>
                <w:rStyle w:val="3"/>
                <w:rFonts w:eastAsia="Times New Roman" w:cs="Times New Roman"/>
                <w:bCs/>
                <w:sz w:val="22"/>
                <w:szCs w:val="22"/>
              </w:rPr>
            </w:pPr>
            <w:r w:rsidRPr="00E35617">
              <w:rPr>
                <w:rStyle w:val="3"/>
                <w:rFonts w:eastAsia="Times New Roman" w:cs="Times New Roman"/>
                <w:bCs/>
                <w:sz w:val="22"/>
                <w:szCs w:val="22"/>
              </w:rPr>
              <w:t>Арматура электромонтажная</w:t>
            </w:r>
          </w:p>
          <w:p w:rsidR="00BD77F7" w:rsidRPr="00E35617" w:rsidRDefault="00BD77F7" w:rsidP="00E16638">
            <w:pPr>
              <w:pStyle w:val="a8"/>
              <w:jc w:val="center"/>
              <w:rPr>
                <w:rStyle w:val="3"/>
                <w:rFonts w:eastAsia="Times New Roman" w:cs="Times New Roman"/>
                <w:sz w:val="22"/>
                <w:szCs w:val="22"/>
              </w:rPr>
            </w:pPr>
            <w:r w:rsidRPr="00E35617">
              <w:rPr>
                <w:rStyle w:val="3"/>
                <w:rFonts w:eastAsia="Times New Roman" w:cs="Times New Roman"/>
                <w:sz w:val="22"/>
                <w:szCs w:val="22"/>
              </w:rPr>
              <w:t>Кабельные изделия</w:t>
            </w:r>
          </w:p>
          <w:p w:rsidR="00BD77F7" w:rsidRDefault="00BD77F7" w:rsidP="00E16638">
            <w:pPr>
              <w:pStyle w:val="a8"/>
              <w:jc w:val="center"/>
              <w:rPr>
                <w:rStyle w:val="3"/>
                <w:rFonts w:eastAsia="Times New Roman" w:cs="Times New Roman"/>
                <w:sz w:val="22"/>
                <w:szCs w:val="22"/>
              </w:rPr>
            </w:pPr>
            <w:r w:rsidRPr="00E35617">
              <w:rPr>
                <w:rStyle w:val="3"/>
                <w:rFonts w:eastAsia="Times New Roman" w:cs="Times New Roman"/>
                <w:sz w:val="22"/>
                <w:szCs w:val="22"/>
              </w:rPr>
              <w:t>Средства огнезащиты</w:t>
            </w:r>
          </w:p>
          <w:p w:rsidR="00BD77F7" w:rsidRDefault="00BD77F7" w:rsidP="00E16638">
            <w:pPr>
              <w:pStyle w:val="a8"/>
              <w:jc w:val="center"/>
              <w:rPr>
                <w:rStyle w:val="3"/>
                <w:rFonts w:eastAsia="Times New Roman"/>
              </w:rPr>
            </w:pPr>
            <w:r>
              <w:rPr>
                <w:rStyle w:val="3"/>
                <w:rFonts w:eastAsia="Times New Roman"/>
              </w:rPr>
              <w:t>Низковольтное оборудование</w:t>
            </w:r>
          </w:p>
          <w:p w:rsidR="00BD77F7" w:rsidRPr="00E35617" w:rsidRDefault="00BD77F7" w:rsidP="00E16638">
            <w:pPr>
              <w:pStyle w:val="a8"/>
              <w:jc w:val="center"/>
              <w:rPr>
                <w:rFonts w:ascii="Times New Roman" w:hAnsi="Times New Roman" w:cs="Times New Roman"/>
                <w:sz w:val="22"/>
                <w:szCs w:val="22"/>
              </w:rPr>
            </w:pPr>
            <w:r>
              <w:rPr>
                <w:rStyle w:val="3"/>
                <w:rFonts w:eastAsia="Times New Roman"/>
              </w:rPr>
              <w:t>Технические средства</w:t>
            </w:r>
          </w:p>
        </w:tc>
      </w:tr>
      <w:tr w:rsidR="00BD77F7" w:rsidRPr="00E35617" w:rsidTr="00E16638">
        <w:trPr>
          <w:trHeight w:val="851"/>
          <w:jc w:val="center"/>
        </w:trPr>
        <w:tc>
          <w:tcPr>
            <w:tcW w:w="2977"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HEADERTEXT"/>
              <w:jc w:val="center"/>
              <w:rPr>
                <w:rFonts w:ascii="Times New Roman" w:hAnsi="Times New Roman" w:cs="Times New Roman"/>
                <w:color w:val="auto"/>
                <w:sz w:val="22"/>
                <w:szCs w:val="22"/>
              </w:rPr>
            </w:pPr>
            <w:r w:rsidRPr="00E35617">
              <w:rPr>
                <w:rFonts w:ascii="Times New Roman" w:hAnsi="Times New Roman" w:cs="Times New Roman"/>
                <w:color w:val="auto"/>
                <w:sz w:val="22"/>
                <w:szCs w:val="22"/>
              </w:rPr>
              <w:t>3</w:t>
            </w:r>
          </w:p>
        </w:tc>
        <w:tc>
          <w:tcPr>
            <w:tcW w:w="6809" w:type="dxa"/>
            <w:tcBorders>
              <w:top w:val="single" w:sz="4" w:space="0" w:color="auto"/>
              <w:left w:val="single" w:sz="4" w:space="0" w:color="auto"/>
              <w:bottom w:val="single" w:sz="4" w:space="0" w:color="auto"/>
              <w:right w:val="single" w:sz="4" w:space="0" w:color="auto"/>
            </w:tcBorders>
            <w:vAlign w:val="center"/>
          </w:tcPr>
          <w:p w:rsidR="00BD77F7" w:rsidRPr="00E35617" w:rsidRDefault="00BD77F7" w:rsidP="00E16638">
            <w:pPr>
              <w:pStyle w:val="a8"/>
              <w:jc w:val="center"/>
              <w:rPr>
                <w:rStyle w:val="3"/>
                <w:rFonts w:eastAsia="Times New Roman" w:cs="Times New Roman"/>
                <w:sz w:val="22"/>
                <w:szCs w:val="22"/>
              </w:rPr>
            </w:pPr>
            <w:r w:rsidRPr="00E35617">
              <w:rPr>
                <w:rStyle w:val="3"/>
                <w:rFonts w:eastAsia="Times New Roman" w:cs="Times New Roman"/>
                <w:sz w:val="22"/>
                <w:szCs w:val="22"/>
              </w:rPr>
              <w:t>Огнестойкие строительные конструкции и их заполнения</w:t>
            </w:r>
          </w:p>
          <w:p w:rsidR="00BD77F7" w:rsidRPr="00E35617" w:rsidRDefault="00BD77F7" w:rsidP="00E16638">
            <w:pPr>
              <w:pStyle w:val="FORMATTEXT"/>
              <w:jc w:val="center"/>
              <w:rPr>
                <w:rFonts w:ascii="Times New Roman" w:hAnsi="Times New Roman" w:cs="Times New Roman"/>
                <w:sz w:val="22"/>
                <w:szCs w:val="22"/>
              </w:rPr>
            </w:pPr>
            <w:r w:rsidRPr="00E35617">
              <w:rPr>
                <w:rStyle w:val="3"/>
                <w:rFonts w:eastAsia="Times New Roman" w:cs="Times New Roman"/>
                <w:sz w:val="22"/>
                <w:szCs w:val="22"/>
              </w:rPr>
              <w:t xml:space="preserve">Инженерное оборудование систем </w:t>
            </w:r>
            <w:proofErr w:type="spellStart"/>
            <w:r w:rsidRPr="00E35617">
              <w:rPr>
                <w:rStyle w:val="3"/>
                <w:rFonts w:eastAsia="Times New Roman" w:cs="Times New Roman"/>
                <w:sz w:val="22"/>
                <w:szCs w:val="22"/>
              </w:rPr>
              <w:t>противодымной</w:t>
            </w:r>
            <w:proofErr w:type="spellEnd"/>
            <w:r w:rsidRPr="00E35617">
              <w:rPr>
                <w:rStyle w:val="3"/>
                <w:rFonts w:eastAsia="Times New Roman" w:cs="Times New Roman"/>
                <w:sz w:val="22"/>
                <w:szCs w:val="22"/>
              </w:rPr>
              <w:t xml:space="preserve"> защиты</w:t>
            </w:r>
          </w:p>
        </w:tc>
      </w:tr>
    </w:tbl>
    <w:p w:rsidR="00BD77F7" w:rsidRPr="00E35617" w:rsidRDefault="00BD77F7" w:rsidP="00BD77F7">
      <w:pPr>
        <w:spacing w:after="200"/>
        <w:rPr>
          <w:b/>
        </w:rPr>
      </w:pPr>
      <w:r w:rsidRPr="00E35617">
        <w:rPr>
          <w:b/>
        </w:rPr>
        <w:br w:type="page"/>
      </w:r>
    </w:p>
    <w:p w:rsidR="00BD77F7" w:rsidRDefault="00BD77F7"/>
    <w:sectPr w:rsidR="00BD7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92F57"/>
    <w:multiLevelType w:val="multilevel"/>
    <w:tmpl w:val="37D68BAA"/>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b w:val="0"/>
        <w:bCs/>
        <w:strike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1844"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04" w:hanging="1440"/>
      </w:pPr>
      <w:rPr>
        <w:rFonts w:hint="default"/>
      </w:rPr>
    </w:lvl>
    <w:lvl w:ilvl="7">
      <w:start w:val="1"/>
      <w:numFmt w:val="decimal"/>
      <w:isLgl/>
      <w:lvlText w:val="%1.%2.%3.%4.%5.%6.%7.%8"/>
      <w:lvlJc w:val="left"/>
      <w:pPr>
        <w:ind w:left="2204" w:hanging="1440"/>
      </w:pPr>
      <w:rPr>
        <w:rFonts w:hint="default"/>
      </w:rPr>
    </w:lvl>
    <w:lvl w:ilvl="8">
      <w:start w:val="1"/>
      <w:numFmt w:val="decimal"/>
      <w:isLgl/>
      <w:lvlText w:val="%1.%2.%3.%4.%5.%6.%7.%8.%9"/>
      <w:lvlJc w:val="left"/>
      <w:pPr>
        <w:ind w:left="2564" w:hanging="1800"/>
      </w:pPr>
      <w:rPr>
        <w:rFonts w:hint="default"/>
      </w:rPr>
    </w:lvl>
  </w:abstractNum>
  <w:abstractNum w:abstractNumId="1" w15:restartNumberingAfterBreak="0">
    <w:nsid w:val="2EC20201"/>
    <w:multiLevelType w:val="multilevel"/>
    <w:tmpl w:val="1F16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31B42"/>
    <w:multiLevelType w:val="multilevel"/>
    <w:tmpl w:val="C34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70F8E"/>
    <w:multiLevelType w:val="multilevel"/>
    <w:tmpl w:val="FCD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0753D"/>
    <w:multiLevelType w:val="hybridMultilevel"/>
    <w:tmpl w:val="9FF2861C"/>
    <w:lvl w:ilvl="0" w:tplc="CBB0D410">
      <w:start w:val="3"/>
      <w:numFmt w:val="bullet"/>
      <w:lvlText w:val="-"/>
      <w:lvlJc w:val="left"/>
      <w:pPr>
        <w:tabs>
          <w:tab w:val="num" w:pos="1069"/>
        </w:tabs>
        <w:ind w:left="0" w:firstLine="709"/>
      </w:pPr>
      <w:rPr>
        <w:rFonts w:ascii="Times New Roman" w:eastAsia="Times New Roman" w:hAnsi="Times New Roman" w:cs="Times New Roman" w:hint="default"/>
        <w:b w:val="0"/>
        <w:strike w:val="0"/>
      </w:rPr>
    </w:lvl>
    <w:lvl w:ilvl="1" w:tplc="C82018A0">
      <w:start w:val="4"/>
      <w:numFmt w:val="bullet"/>
      <w:lvlText w:val="-"/>
      <w:lvlJc w:val="left"/>
      <w:pPr>
        <w:tabs>
          <w:tab w:val="num" w:pos="2293"/>
        </w:tabs>
        <w:ind w:left="2293" w:hanging="864"/>
      </w:pPr>
      <w:rPr>
        <w:rFonts w:ascii="Times New Roman" w:eastAsia="MS Mincho" w:hAnsi="Times New Roman" w:cs="Times New Roman" w:hint="default"/>
      </w:rPr>
    </w:lvl>
    <w:lvl w:ilvl="2" w:tplc="0419001B">
      <w:start w:val="1"/>
      <w:numFmt w:val="lowerRoman"/>
      <w:lvlText w:val="%3."/>
      <w:lvlJc w:val="right"/>
      <w:pPr>
        <w:tabs>
          <w:tab w:val="num" w:pos="2509"/>
        </w:tabs>
        <w:ind w:left="2509" w:hanging="180"/>
      </w:pPr>
    </w:lvl>
    <w:lvl w:ilvl="3" w:tplc="351E171E">
      <w:start w:val="1"/>
      <w:numFmt w:val="decimal"/>
      <w:lvlText w:val="%4."/>
      <w:lvlJc w:val="left"/>
      <w:pPr>
        <w:ind w:left="0" w:firstLine="0"/>
      </w:pPr>
      <w:rPr>
        <w:rFonts w:hint="default"/>
      </w:rPr>
    </w:lvl>
    <w:lvl w:ilvl="4" w:tplc="04190019">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F7"/>
    <w:rsid w:val="007D0EC5"/>
    <w:rsid w:val="00995383"/>
    <w:rsid w:val="00BD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3FB6E-FA58-4691-9647-079C1254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77F7"/>
    <w:rPr>
      <w:b/>
      <w:szCs w:val="20"/>
    </w:rPr>
  </w:style>
  <w:style w:type="character" w:customStyle="1" w:styleId="a4">
    <w:name w:val="Основной текст Знак"/>
    <w:basedOn w:val="a0"/>
    <w:link w:val="a3"/>
    <w:rsid w:val="00BD77F7"/>
    <w:rPr>
      <w:rFonts w:ascii="Times New Roman" w:eastAsia="Times New Roman" w:hAnsi="Times New Roman" w:cs="Times New Roman"/>
      <w:b/>
      <w:sz w:val="24"/>
      <w:szCs w:val="20"/>
      <w:lang w:eastAsia="ru-RU"/>
    </w:rPr>
  </w:style>
  <w:style w:type="paragraph" w:styleId="a5">
    <w:name w:val="List Paragraph"/>
    <w:basedOn w:val="a"/>
    <w:uiPriority w:val="34"/>
    <w:qFormat/>
    <w:rsid w:val="00BD77F7"/>
    <w:pPr>
      <w:ind w:left="720"/>
      <w:contextualSpacing/>
    </w:pPr>
  </w:style>
  <w:style w:type="table" w:styleId="a6">
    <w:name w:val="Table Grid"/>
    <w:basedOn w:val="a1"/>
    <w:uiPriority w:val="39"/>
    <w:rsid w:val="00BD77F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D77F7"/>
    <w:pPr>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BD77F7"/>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a8">
    <w:name w:val="."/>
    <w:uiPriority w:val="99"/>
    <w:rsid w:val="00BD77F7"/>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FORMATTEXT">
    <w:name w:val=".FORMATTEXT"/>
    <w:uiPriority w:val="99"/>
    <w:rsid w:val="00BD77F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
    <w:name w:val="Основной текст (3)"/>
    <w:rsid w:val="00BD77F7"/>
    <w:rPr>
      <w:rFonts w:ascii="Times New Roman" w:hAnsi="Times New Roman"/>
      <w:spacing w:val="-3"/>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Алла Витиславовна</dc:creator>
  <cp:keywords/>
  <dc:description/>
  <cp:lastModifiedBy>Рязанова Алла Витиславовна</cp:lastModifiedBy>
  <cp:revision>2</cp:revision>
  <dcterms:created xsi:type="dcterms:W3CDTF">2026-02-10T08:03:00Z</dcterms:created>
  <dcterms:modified xsi:type="dcterms:W3CDTF">2026-02-10T08:03:00Z</dcterms:modified>
</cp:coreProperties>
</file>